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platforms transform insurance operations with enhanced automation and compliance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Insurance is no longer a paper-first industry; artificial intelligence is remaking how carriers process claims, underwrite risk, set prices and run internal operations. According to the original report, the market now features a mix of end-to-end platforms, specialist vision and data providers, regulatory monitors and productivity tools, each suited to distinct parts of the insurance value chain. </w:t>
      </w:r>
      <w:hyperlink r:id="rId9">
        <w:r>
          <w:rPr>
            <w:color w:val="0000EE"/>
            <w:u w:val="single"/>
          </w:rPr>
          <w:t>[1]</w:t>
        </w:r>
      </w:hyperlink>
      <w:r/>
    </w:p>
    <w:p>
      <w:r/>
      <w:r>
        <w:t xml:space="preserve">For carriers seeking a single platform to orchestrate and govern complex workflows, AgentFlow is presented as the most comprehensive option. The lead report emphasises AgentFlow’s compliance-first positioning, SOC 2 Type II, audit trails, confidence scoring, and its ability to run private deployments and prebuilt, insurance-specific agents across FNOL, underwriting and policy generation. Reltio’s product documentation describes a closely aligned proposition: an agentic operations suite built on the Reltio Data Cloud that delivers governed, auditable agents, role-adapted conversational interfaces and live, real‑time recommendations for outcome-driven execution. Together, these accounts suggest AgentFlow is intended for organisations that prioritise enterprise security, data governance and end-to-end automation. </w:t>
      </w:r>
      <w:hyperlink r:id="rId9">
        <w:r>
          <w:rPr>
            <w:color w:val="0000EE"/>
            <w:u w:val="single"/>
          </w:rPr>
          <w:t>[1]</w:t>
        </w:r>
      </w:hyperlink>
      <w:hyperlink r:id="rId10">
        <w:r>
          <w:rPr>
            <w:color w:val="0000EE"/>
            <w:u w:val="single"/>
          </w:rPr>
          <w:t>[2]</w:t>
        </w:r>
      </w:hyperlink>
      <w:r/>
    </w:p>
    <w:p>
      <w:r/>
      <w:r>
        <w:t xml:space="preserve">While AgentFlow targets full-workflow automation, several other vendors occupy adjacent parts of the stack. FlowForma, for example, pitches a process automation platform that integrates with core systems to speed quotes, policies and claims, while ensuring auditable, compliant processes, an alternative for insurers that want AI-enhanced workflows without replacing core platforms. Separately, smaller studios and consultancies using the AgentFlow name (and similar variants) offer bespoke, lightweight agent design and chat-based automations aimed at SMBs; these solutions tend to emphasise speed and cost-effectiveness rather than enterprise governance. The proliferation of similar vendor names underlines the need for careful vendor due diligence. </w:t>
      </w:r>
      <w:hyperlink r:id="rId11">
        <w:r>
          <w:rPr>
            <w:color w:val="0000EE"/>
            <w:u w:val="single"/>
          </w:rPr>
          <w:t>[4]</w:t>
        </w:r>
      </w:hyperlink>
      <w:hyperlink r:id="rId12">
        <w:r>
          <w:rPr>
            <w:color w:val="0000EE"/>
            <w:u w:val="single"/>
          </w:rPr>
          <w:t>[6]</w:t>
        </w:r>
      </w:hyperlink>
      <w:hyperlink r:id="rId13">
        <w:r>
          <w:rPr>
            <w:color w:val="0000EE"/>
            <w:u w:val="single"/>
          </w:rPr>
          <w:t>[5]</w:t>
        </w:r>
      </w:hyperlink>
      <w:hyperlink r:id="rId14">
        <w:r>
          <w:rPr>
            <w:color w:val="0000EE"/>
            <w:u w:val="single"/>
          </w:rPr>
          <w:t>[7]</w:t>
        </w:r>
      </w:hyperlink>
      <w:r/>
    </w:p>
    <w:p>
      <w:r/>
      <w:r>
        <w:t xml:space="preserve">On the claims front, Tractable represents the specialist visual-AI approach. The company’s models assess auto and property damage from photos, accelerating estimates and enabling touchless claims handling from FNOL through to approval and payment for undisputed settlements. Industry materials describe this as a practical route to straight-through processing (STP), reducing manual review for low-severity damage and improving customer experience through faster decisions. For carriers focused on front-end claims velocity and customer satisfaction, Tractable’s computer-vision capability is a clear fit. </w:t>
      </w:r>
      <w:hyperlink r:id="rId9">
        <w:r>
          <w:rPr>
            <w:color w:val="0000EE"/>
            <w:u w:val="single"/>
          </w:rPr>
          <w:t>[1]</w:t>
        </w:r>
      </w:hyperlink>
      <w:hyperlink r:id="rId15">
        <w:r>
          <w:rPr>
            <w:color w:val="0000EE"/>
            <w:u w:val="single"/>
          </w:rPr>
          <w:t>[3]</w:t>
        </w:r>
      </w:hyperlink>
      <w:r/>
    </w:p>
    <w:p>
      <w:r/>
      <w:r>
        <w:t xml:space="preserve">For property underwriting at scale, Cape Analytics supplies AI-derived geospatial and imagery attributes, roof condition, tree overhang, building footprint and dozens more, sourced from satellite imagery, assessor records and listings. The lead article positions Cape as a tool to replace or augment field inspections and bring fresher, more granular data to risk selection and pricing. Used correctly, such data can shorten underwriting cycles and reduce surprises from stale records. </w:t>
      </w:r>
      <w:hyperlink r:id="rId9">
        <w:r>
          <w:rPr>
            <w:color w:val="0000EE"/>
            <w:u w:val="single"/>
          </w:rPr>
          <w:t>[1]</w:t>
        </w:r>
      </w:hyperlink>
      <w:r/>
    </w:p>
    <w:p>
      <w:r/>
      <w:r>
        <w:t xml:space="preserve">Pricing and actuarial workflows are a different speciality: Akur8 aims to automate pricing model building while preserving explainability and auditability. The original report notes Akur8’s emphasis on interpretable GLMs and transparent machine-learning approaches, together with embedded regulatory checks, features that make it attractive to actuaries who must balance predictive performance with model governance. Industry data shows regulators and risk teams increasingly insist on explainability, which supports Akur8’s positioning for auto, home and health pricing teams. </w:t>
      </w:r>
      <w:hyperlink r:id="rId9">
        <w:r>
          <w:rPr>
            <w:color w:val="0000EE"/>
            <w:u w:val="single"/>
          </w:rPr>
          <w:t>[1]</w:t>
        </w:r>
      </w:hyperlink>
      <w:r/>
    </w:p>
    <w:p>
      <w:r/>
      <w:r>
        <w:t xml:space="preserve">Compliance is another active battleground. Gnowit uses NLP and machine learning to monitor regulatory developments and produce digests and alerts, helping compliance teams stay on top of state-by-state insurance rules, NAIC updates and privacy-law changes. According to the lead report, this reduces the manual burden of scanning bulletins and filings and provides action-oriented summaries for legal and compliance functions. For companies operating across multiple jurisdictions, continuous regulatory monitoring can materially reduce legal risk and response lag. </w:t>
      </w:r>
      <w:hyperlink r:id="rId9">
        <w:r>
          <w:rPr>
            <w:color w:val="0000EE"/>
            <w:u w:val="single"/>
          </w:rPr>
          <w:t>[1]</w:t>
        </w:r>
      </w:hyperlink>
      <w:r/>
    </w:p>
    <w:p>
      <w:r/>
      <w:r>
        <w:t xml:space="preserve">Legal and contract-heavy workflows benefit from document-extraction and clause-analysis tools such as Kira (now part of Litera). The lead article highlights Kira’s strength in extracting contractual terms and accelerating review of binders, reinsurance documents and large policy sets, tasks that traditionally consume significant lawyer and underwriter time. By surfacing anomalies and missing clauses, Kira supports standardisation and faster review cycles, though its value depends on robust training and careful validation against firm-specific templates. </w:t>
      </w:r>
      <w:hyperlink r:id="rId9">
        <w:r>
          <w:rPr>
            <w:color w:val="0000EE"/>
            <w:u w:val="single"/>
          </w:rPr>
          <w:t>[1]</w:t>
        </w:r>
      </w:hyperlink>
      <w:r/>
    </w:p>
    <w:p>
      <w:r/>
      <w:r>
        <w:t xml:space="preserve">Finally, not all gains come from core systems: Otter.ai demonstrates how productivity-focused AI, real‑time transcription, searchable meeting notes, speaker identification and action‑item extraction, improves coordination across distributed claims and underwriting teams. The lead report suggests Otter.ai is particularly useful for recurring calls, claim reviews and broker meetings where searchable meeting records reduce duplication and missed follow-ups. </w:t>
      </w:r>
      <w:hyperlink r:id="rId9">
        <w:r>
          <w:rPr>
            <w:color w:val="0000EE"/>
            <w:u w:val="single"/>
          </w:rPr>
          <w:t>[1]</w:t>
        </w:r>
      </w:hyperlink>
      <w:r/>
    </w:p>
    <w:p>
      <w:r/>
      <w:r>
        <w:t xml:space="preserve">Taken together, the landscape presents clearly different choices: comprehensive, governed platforms for enterprise automation; specialist vendors for vision, geospatial or actuarial automation; regulatory monitoring for compliance teams; and meeting-level tools for internal productivity. According to vendor materials and industry summaries, insurers should match solutions to specific operational priorities, speed and customer experience, underwriting accuracy, model explainability, or regulatory assurance, while conducting careful vendor validation, especially where product names and capabilities overlap. </w:t>
      </w:r>
      <w:hyperlink r:id="rId9">
        <w:r>
          <w:rPr>
            <w:color w:val="0000EE"/>
            <w:u w:val="single"/>
          </w:rPr>
          <w:t>[1]</w:t>
        </w:r>
      </w:hyperlink>
      <w:hyperlink r:id="rId10">
        <w:r>
          <w:rPr>
            <w:color w:val="0000EE"/>
            <w:u w:val="single"/>
          </w:rPr>
          <w:t>[2]</w:t>
        </w:r>
      </w:hyperlink>
      <w:hyperlink r:id="rId15">
        <w:r>
          <w:rPr>
            <w:color w:val="0000EE"/>
            <w:u w:val="single"/>
          </w:rPr>
          <w:t>[3]</w:t>
        </w:r>
      </w:hyperlink>
      <w:hyperlink r:id="rId11">
        <w:r>
          <w:rPr>
            <w:color w:val="0000EE"/>
            <w:u w:val="single"/>
          </w:rPr>
          <w:t>[4]</w:t>
        </w:r>
      </w:hyperlink>
      <w:hyperlink r:id="rId13">
        <w:r>
          <w:rPr>
            <w:color w:val="0000EE"/>
            <w:u w:val="single"/>
          </w:rPr>
          <w:t>[5]</w:t>
        </w:r>
      </w:hyperlink>
      <w:hyperlink r:id="rId12">
        <w:r>
          <w:rPr>
            <w:color w:val="0000EE"/>
            <w:u w:val="single"/>
          </w:rPr>
          <w:t>[6]</w:t>
        </w:r>
      </w:hyperlink>
      <w:hyperlink r:id="rId14">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(Agency Height) - Paragraph 1, Paragraph 2, Paragraph 4, Paragraph 5, Paragraph 6, Paragraph 7, Paragraph 8, Paragraph 9</w:t>
      </w:r>
      <w:r/>
    </w:p>
    <w:p>
      <w:pPr>
        <w:pStyle w:val="ListBullet"/>
        <w:spacing w:line="240" w:lineRule="auto"/>
        <w:ind w:left="720"/>
      </w:pPr>
      <w:r/>
      <w:hyperlink r:id="rId10">
        <w:r>
          <w:rPr>
            <w:color w:val="0000EE"/>
            <w:u w:val="single"/>
          </w:rPr>
          <w:t>[2]</w:t>
        </w:r>
      </w:hyperlink>
      <w:r>
        <w:t xml:space="preserve"> (Reltio) - Paragraph 2, Paragraph 9</w:t>
      </w:r>
      <w:r/>
    </w:p>
    <w:p>
      <w:pPr>
        <w:pStyle w:val="ListBullet"/>
        <w:spacing w:line="240" w:lineRule="auto"/>
        <w:ind w:left="720"/>
      </w:pPr>
      <w:r/>
      <w:hyperlink r:id="rId11">
        <w:r>
          <w:rPr>
            <w:color w:val="0000EE"/>
            <w:u w:val="single"/>
          </w:rPr>
          <w:t>[4]</w:t>
        </w:r>
      </w:hyperlink>
      <w:r>
        <w:t xml:space="preserve"> (FlowForma) - Paragraph 3, Paragraph 9</w:t>
      </w:r>
      <w:r/>
    </w:p>
    <w:p>
      <w:pPr>
        <w:pStyle w:val="ListBullet"/>
        <w:spacing w:line="240" w:lineRule="auto"/>
        <w:ind w:left="720"/>
      </w:pPr>
      <w:r/>
      <w:hyperlink r:id="rId12">
        <w:r>
          <w:rPr>
            <w:color w:val="0000EE"/>
            <w:u w:val="single"/>
          </w:rPr>
          <w:t>[6]</w:t>
        </w:r>
      </w:hyperlink>
      <w:r>
        <w:t xml:space="preserve"> (AgentFlow-app) - Paragraph 3</w:t>
      </w:r>
      <w:r/>
    </w:p>
    <w:p>
      <w:pPr>
        <w:pStyle w:val="ListBullet"/>
        <w:spacing w:line="240" w:lineRule="auto"/>
        <w:ind w:left="720"/>
      </w:pPr>
      <w:r/>
      <w:hyperlink r:id="rId13">
        <w:r>
          <w:rPr>
            <w:color w:val="0000EE"/>
            <w:u w:val="single"/>
          </w:rPr>
          <w:t>[5]</w:t>
        </w:r>
      </w:hyperlink>
      <w:r>
        <w:t xml:space="preserve"> (AgentsFlow AI) - Paragraph 3</w:t>
      </w:r>
      <w:r/>
    </w:p>
    <w:p>
      <w:pPr>
        <w:pStyle w:val="ListBullet"/>
        <w:spacing w:line="240" w:lineRule="auto"/>
        <w:ind w:left="720"/>
      </w:pPr>
      <w:r/>
      <w:hyperlink r:id="rId14">
        <w:r>
          <w:rPr>
            <w:color w:val="0000EE"/>
            <w:u w:val="single"/>
          </w:rPr>
          <w:t>[7]</w:t>
        </w:r>
      </w:hyperlink>
      <w:r>
        <w:t xml:space="preserve"> (Rosys) - Paragraph 3</w:t>
      </w:r>
      <w:r/>
    </w:p>
    <w:p>
      <w:pPr>
        <w:pStyle w:val="ListBullet"/>
        <w:spacing w:line="240" w:lineRule="auto"/>
        <w:ind w:left="720"/>
      </w:pPr>
      <w:r/>
      <w:hyperlink r:id="rId15">
        <w:r>
          <w:rPr>
            <w:color w:val="0000EE"/>
            <w:u w:val="single"/>
          </w:rPr>
          <w:t>[3]</w:t>
        </w:r>
      </w:hyperlink>
      <w:r>
        <w:t xml:space="preserve"> (Tractable) - Paragraph 4,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https://agencyheight.com/best-ai-tools-insurance/</w:t>
        </w:r>
      </w:hyperlink>
      <w:r>
        <w:t xml:space="preserve"> - Please view link - unable to able to access data</w:t>
      </w:r>
      <w:r/>
    </w:p>
    <w:p>
      <w:pPr>
        <w:pStyle w:val="ListNumber"/>
        <w:spacing w:line="240" w:lineRule="auto"/>
        <w:ind w:left="720"/>
      </w:pPr>
      <w:r/>
      <w:hyperlink r:id="rId10">
        <w:r>
          <w:rPr>
            <w:color w:val="0000EE"/>
            <w:u w:val="single"/>
          </w:rPr>
          <w:t>https://www.reltio.com/products/agentflow/</w:t>
        </w:r>
      </w:hyperlink>
      <w:r>
        <w:t xml:space="preserve"> - Reltio's AgentFlow is an agentic operations suite built on the Reltio Data Cloud, designed to automate governance and business workflows with secure, auditable execution. It offers prebuilt agents that deliver real business impact by transforming data governance through autonomous, auditable agents. The platform ensures simplified integration, faster results, security, and governance, increased productivity, and scalable AI. It also provides a conversational interface adapted to user roles and behavior, enhancing user experience and productivity. Built on Reltio Data Cloud, AgentFlow is powered by real-time, unified, context-rich data governed by Reltio Data Cloud for outcome-driven execution. Enterprise-grade security and data privacy are enabled by default with robust RBAC, data masking, and audit trails. The platform also offers live recommendations and tasks, with agents proactively surfacing tasks and proposing actions, streaming live with real-time status updates.</w:t>
      </w:r>
      <w:r/>
    </w:p>
    <w:p>
      <w:pPr>
        <w:pStyle w:val="ListNumber"/>
        <w:spacing w:line="240" w:lineRule="auto"/>
        <w:ind w:left="720"/>
      </w:pPr>
      <w:r/>
      <w:hyperlink r:id="rId15">
        <w:r>
          <w:rPr>
            <w:color w:val="0000EE"/>
            <w:u w:val="single"/>
          </w:rPr>
          <w:t>https://tractable.ai/en</w:t>
        </w:r>
      </w:hyperlink>
      <w:r>
        <w:t xml:space="preserve"> - Tractable is an AI company focused on accident and disaster recovery, enabling touchless claims processing since 2020. Their AI solutions aim to make the vision for Straight-Through Processing (STP) a reality, contributing to the shift towards efficiency in the insurance industry. Tractable's technology allows insurers to process claims with minimal human intervention, from first notice of loss (FNOL) through approval and even payment, particularly for undisputed cash settlements. This approach addresses common customer complaints about delays in claims handling and enhances the customer experience by reducing processing times.</w:t>
      </w:r>
      <w:r/>
    </w:p>
    <w:p>
      <w:pPr>
        <w:pStyle w:val="ListNumber"/>
        <w:spacing w:line="240" w:lineRule="auto"/>
        <w:ind w:left="720"/>
      </w:pPr>
      <w:r/>
      <w:hyperlink r:id="rId11">
        <w:r>
          <w:rPr>
            <w:color w:val="0000EE"/>
            <w:u w:val="single"/>
          </w:rPr>
          <w:t>https://www.flowforma.com/insurance</w:t>
        </w:r>
      </w:hyperlink>
      <w:r>
        <w:t xml:space="preserve"> - FlowForma offers an AI-powered process automation platform for the insurance industry, transforming how insurers and brokers manage processes, including quotes, policies, and claims. The platform speeds workflows, improves accuracy, and provides end-to-end visibility, reducing manual effort, enhancing service, and ensuring compliance. FlowForma's AI agents supercharge insurance workflows, cutting manual work and boosting accuracy. The platform integrates seamlessly with core systems, scales across business units, and ensures secure, auditable, compliant processes. FlowForma's AI agents automate data extraction, validation, and risk flagging, so processes run faster, smarter, and with greater accuracy.</w:t>
      </w:r>
      <w:r/>
    </w:p>
    <w:p>
      <w:pPr>
        <w:pStyle w:val="ListNumber"/>
        <w:spacing w:line="240" w:lineRule="auto"/>
        <w:ind w:left="720"/>
      </w:pPr>
      <w:r/>
      <w:hyperlink r:id="rId13">
        <w:r>
          <w:rPr>
            <w:color w:val="0000EE"/>
            <w:u w:val="single"/>
          </w:rPr>
          <w:t>https://agentsflowai.com/</w:t>
        </w:r>
      </w:hyperlink>
      <w:r>
        <w:t xml:space="preserve"> - AgentsFlow AI provides custom AI automation solutions for businesses, focusing on customer support, lead generation, and workflow automation. Their services aim to save time, reduce costs, and enhance customer experience by automating workflows and client management. AgentsFlow AI offers strategy and consultation, chatbots, and AI automations tailored to small businesses. They have proven results across industries, with clients reporting significant reductions in customer inquiry handling time and improved team productivity. The platform integrates with business essentials, providing professional, automated service through channels like WhatsApp, handling tasks from answering questions to confirming appointments.</w:t>
      </w:r>
      <w:r/>
    </w:p>
    <w:p>
      <w:pPr>
        <w:pStyle w:val="ListNumber"/>
        <w:spacing w:line="240" w:lineRule="auto"/>
        <w:ind w:left="720"/>
      </w:pPr>
      <w:r/>
      <w:hyperlink r:id="rId12">
        <w:r>
          <w:rPr>
            <w:color w:val="0000EE"/>
            <w:u w:val="single"/>
          </w:rPr>
          <w:t>https://www.agentflow-app.com/</w:t>
        </w:r>
      </w:hyperlink>
      <w:r>
        <w:t xml:space="preserve"> - AgentFlow is a design studio for creating custom AI agents through an intuitive graphical user interface. The platform empowers businesses to streamline their operations and achieve greater success by building and implementing AI solutions without corporate bloat. AgentFlow offers a user-friendly interface for creating AI agents, enabling businesses to automate processes and enhance efficiency. The platform focuses on providing fast, affordable, and powerful agentic AI to streamline business processes and unlock new growth opportunities.</w:t>
      </w:r>
      <w:r/>
    </w:p>
    <w:p>
      <w:pPr>
        <w:pStyle w:val="ListNumber"/>
        <w:spacing w:line="240" w:lineRule="auto"/>
        <w:ind w:left="720"/>
      </w:pPr>
      <w:r/>
      <w:hyperlink r:id="rId14">
        <w:r>
          <w:rPr>
            <w:color w:val="0000EE"/>
            <w:u w:val="single"/>
          </w:rPr>
          <w:t>https://www.rosys.im/</w:t>
        </w:r>
      </w:hyperlink>
      <w:r>
        <w:t xml:space="preserve"> - Rosys offers custom AI agents for businesses, focusing on building and implementing AI solutions without corporate bloat. They deliver fast, affordable, and powerful agentic AI to streamline processes and unlock new growth. Rosys provides solutions for agentic workflow automation, intelligent data processing, AI-powered analytics, seamless system integration, custom AI tooling, and strategic AI consultation. Their AI agents handle complex, multi-step tasks, process vast amounts of unstructured data, monitor data for trends, integrate with existing software, and offer bespoke AI solutions tailored to operational needs and business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gencyheight.com/best-ai-tools-insurance/" TargetMode="External"/><Relationship Id="rId10" Type="http://schemas.openxmlformats.org/officeDocument/2006/relationships/hyperlink" Target="https://www.reltio.com/products/agentflow/" TargetMode="External"/><Relationship Id="rId11" Type="http://schemas.openxmlformats.org/officeDocument/2006/relationships/hyperlink" Target="https://www.flowforma.com/insurance" TargetMode="External"/><Relationship Id="rId12" Type="http://schemas.openxmlformats.org/officeDocument/2006/relationships/hyperlink" Target="https://www.agentflow-app.com/" TargetMode="External"/><Relationship Id="rId13" Type="http://schemas.openxmlformats.org/officeDocument/2006/relationships/hyperlink" Target="https://agentsflowai.com/" TargetMode="External"/><Relationship Id="rId14" Type="http://schemas.openxmlformats.org/officeDocument/2006/relationships/hyperlink" Target="https://www.rosys.im/" TargetMode="External"/><Relationship Id="rId15" Type="http://schemas.openxmlformats.org/officeDocument/2006/relationships/hyperlink" Target="https://tractable.ai/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