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SaaS finance in 2026: the rise of AI-native, real-time strategic finance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According to the original report, SaaS finance in 2026 will be defined by a decisive shift from backward-looking reporting to AI-native, real-time intelligence that repositions finance teams as strategic partners rather than scorekeepers. Experts interviewed for the piece argue that finance will drive operational excellence through continuous forecasting, automated variance analysis, and proactive capital allocation, with CFOs taking ownership of both data quality and AI governance to ensure decisions rest on transparent, auditable models. </w:t>
      </w:r>
      <w:hyperlink r:id="rId9">
        <w:r>
          <w:rPr>
            <w:color w:val="0000EE"/>
            <w:u w:val="single"/>
          </w:rPr>
          <w:t>[1]</w:t>
        </w:r>
      </w:hyperlink>
      <w:hyperlink r:id="rId10">
        <w:r>
          <w:rPr>
            <w:color w:val="0000EE"/>
            <w:u w:val="single"/>
          </w:rPr>
          <w:t>[7]</w:t>
        </w:r>
      </w:hyperlink>
      <w:r/>
    </w:p>
    <w:p>
      <w:r/>
      <w:r>
        <w:t xml:space="preserve">Industry data and executives’ forecasts suggest the transition will be fuelled by a surge in corporate investment in AI infrastructure and agentic systems. Bank and market commentary point to large-scale financing flows into AI-ready data centres and M&amp;A, underscoring why finance must be able to model capital structures, debt issuance and integration-driven synergies in near real time. This macro backdrop raises the stakes for finance teams to provide scenario-based guidance on funding and acquisition strategies. </w:t>
      </w:r>
      <w:hyperlink r:id="rId11">
        <w:r>
          <w:rPr>
            <w:color w:val="0000EE"/>
            <w:u w:val="single"/>
          </w:rPr>
          <w:t>[2]</w:t>
        </w:r>
      </w:hyperlink>
      <w:hyperlink r:id="rId12">
        <w:r>
          <w:rPr>
            <w:color w:val="0000EE"/>
            <w:u w:val="single"/>
          </w:rPr>
          <w:t>[3]</w:t>
        </w:r>
      </w:hyperlink>
      <w:r/>
    </w:p>
    <w:p>
      <w:r/>
      <w:r>
        <w:t xml:space="preserve">Operationally, “GTM Engineering” and fit-for-purpose CFO tech stacks will become core to scaling efficiency. Practitioners describe a future where standardised, automated go-to-market workflows , blending RevOps, product and customer success , replace headcount-first growth, while CFOs curate toolchains that measure the metrics that matter, from quote-to-cash to days sales outstanding. The result is tighter alignment between investment, execution and measurable outcomes. </w:t>
      </w:r>
      <w:hyperlink r:id="rId11">
        <w:r>
          <w:rPr>
            <w:color w:val="0000EE"/>
            <w:u w:val="single"/>
          </w:rPr>
          <w:t>[2]</w:t>
        </w:r>
      </w:hyperlink>
      <w:hyperlink r:id="rId13">
        <w:r>
          <w:rPr>
            <w:color w:val="0000EE"/>
            <w:u w:val="single"/>
          </w:rPr>
          <w:t>[4]</w:t>
        </w:r>
      </w:hyperlink>
      <w:r/>
    </w:p>
    <w:p>
      <w:r/>
      <w:r>
        <w:t xml:space="preserve">Pricing and monetization will evolve from simple seat licences to nuanced, multi-dimensional models that reflect usage, outcomes and value. Pricing experts describe “Careful Complexity”: richer price signals such as flex credits, rate limits and outcome-based fees that remain intuitively presented to customers. Vendors that couple these models with modern revenue-management and billing infrastructure will be better able to capture value while reducing manual reconciliation and revenue leakage. </w:t>
      </w:r>
      <w:hyperlink r:id="rId9">
        <w:r>
          <w:rPr>
            <w:color w:val="0000EE"/>
            <w:u w:val="single"/>
          </w:rPr>
          <w:t>[1]</w:t>
        </w:r>
      </w:hyperlink>
      <w:hyperlink r:id="rId14">
        <w:r>
          <w:rPr>
            <w:color w:val="0000EE"/>
            <w:u w:val="single"/>
          </w:rPr>
          <w:t>[6]</w:t>
        </w:r>
      </w:hyperlink>
      <w:hyperlink r:id="rId10">
        <w:r>
          <w:rPr>
            <w:color w:val="0000EE"/>
            <w:u w:val="single"/>
          </w:rPr>
          <w:t>[7]</w:t>
        </w:r>
      </w:hyperlink>
      <w:r/>
    </w:p>
    <w:p>
      <w:r/>
      <w:r>
        <w:t xml:space="preserve">Flexible revenue management tooling and upgraded billing systems are highlighted as prerequisites for accurate usage-based invoicing and correct revenue recognition. Finance leaders in the source material emphasise that disconnected CRM, ERP and subscription systems are the single biggest barrier to predictable recurring revenue; real-time ingestion of usage data and API-first integration architectures are presented as the cure. The move to unified subscription data promises fewer reconciliation headaches, faster closes and more reliable forecasting. </w:t>
      </w:r>
      <w:hyperlink r:id="rId9">
        <w:r>
          <w:rPr>
            <w:color w:val="0000EE"/>
            <w:u w:val="single"/>
          </w:rPr>
          <w:t>[1]</w:t>
        </w:r>
      </w:hyperlink>
      <w:r/>
    </w:p>
    <w:p>
      <w:r/>
      <w:r>
        <w:t xml:space="preserve">Across FP&amp;A and finance teams, the coming year will demand deeper business partnership plus stronger technical capability. Practitioners forecast that BI literacy, SQL and automation fluency will be baseline skills for analytical roles, while the highest-value practitioners will be those who combine technical rigour with a nuanced understanding of customer behaviour and the job-to-be-done. Training and re-skilling are expected to accelerate as AI embeds into planning workflows. </w:t>
      </w:r>
      <w:hyperlink r:id="rId9">
        <w:r>
          <w:rPr>
            <w:color w:val="0000EE"/>
            <w:u w:val="single"/>
          </w:rPr>
          <w:t>[1]</w:t>
        </w:r>
      </w:hyperlink>
      <w:hyperlink r:id="rId15">
        <w:r>
          <w:rPr>
            <w:color w:val="0000EE"/>
            <w:u w:val="single"/>
          </w:rPr>
          <w:t>[5]</w:t>
        </w:r>
      </w:hyperlink>
      <w:r/>
    </w:p>
    <w:p>
      <w:r/>
      <w:r>
        <w:t xml:space="preserve">AI-driven automation will not only enable prediction but extend into agentic automation that executes multi-step workflows autonomously. Thought leadership and industry reports foresee agentic AI transforming areas from fraud detection to onboarding and claims processing, implying finance must also govern operational agents that can initiate payments, execute compliance checks and affect revenue directly. That shift intensifies regulatory, audit and governance responsibilities for CFOs. </w:t>
      </w:r>
      <w:hyperlink r:id="rId12">
        <w:r>
          <w:rPr>
            <w:color w:val="0000EE"/>
            <w:u w:val="single"/>
          </w:rPr>
          <w:t>[3]</w:t>
        </w:r>
      </w:hyperlink>
      <w:hyperlink r:id="rId13">
        <w:r>
          <w:rPr>
            <w:color w:val="0000EE"/>
            <w:u w:val="single"/>
          </w:rPr>
          <w:t>[4]</w:t>
        </w:r>
      </w:hyperlink>
      <w:hyperlink r:id="rId15">
        <w:r>
          <w:rPr>
            <w:color w:val="0000EE"/>
            <w:u w:val="single"/>
          </w:rPr>
          <w:t>[5]</w:t>
        </w:r>
      </w:hyperlink>
      <w:r/>
    </w:p>
    <w:p>
      <w:r/>
      <w:r>
        <w:t xml:space="preserve">Market and investor signals point to consolidation opportunities for AI-enabled scale players. Corporate finance professionals predict “AI roll-ups” , combinations of proprietary models and established customer bases , will attract capital and support exits, while larger tech firms ramp debt issuance to finance data-centre buildouts and M&amp;A. For finance leaders this means marrying short-term cash stewardship with long-term strategic investment in data, IP and customer-led differentiation. </w:t>
      </w:r>
      <w:hyperlink r:id="rId11">
        <w:r>
          <w:rPr>
            <w:color w:val="0000EE"/>
            <w:u w:val="single"/>
          </w:rPr>
          <w:t>[2]</w:t>
        </w:r>
      </w:hyperlink>
      <w:hyperlink r:id="rId13">
        <w:r>
          <w:rPr>
            <w:color w:val="0000EE"/>
            <w:u w:val="single"/>
          </w:rPr>
          <w:t>[4]</w:t>
        </w:r>
      </w:hyperlink>
      <w:r/>
    </w:p>
    <w:p>
      <w:r/>
      <w:r>
        <w:t xml:space="preserve">The consensus closing view is pragmatic: 2026 will reward teams that blend ambition with discipline. Sustainable growth, robust fundamentals and controlled experimentation with AI will outperform either blind hype or willful conservatism. Finance functions that become real-time, AI-native engines of strategy , maintaining data integrity, building fit-for-purpose stacks, modernising pricing and upskilling FP&amp;A , will determine which SaaS companies thrive as the market restructures. </w:t>
      </w:r>
      <w:hyperlink r:id="rId9">
        <w:r>
          <w:rPr>
            <w:color w:val="0000EE"/>
            <w:u w:val="single"/>
          </w:rPr>
          <w:t>[1]</w:t>
        </w:r>
      </w:hyperlink>
      <w:hyperlink r:id="rId14">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(Younium blog , SaaS Finance Trends 2026: Industry Expert Predictions) - Paragraph 1, Paragraph 4, Paragraph 5, Paragraph 6, Paragraph 9 </w:t>
      </w:r>
      <w:r/>
    </w:p>
    <w:p>
      <w:pPr>
        <w:pStyle w:val="ListBullet"/>
        <w:spacing w:line="240" w:lineRule="auto"/>
        <w:ind w:left="720"/>
      </w:pPr>
      <w:r/>
      <w:hyperlink r:id="rId11">
        <w:r>
          <w:rPr>
            <w:color w:val="0000EE"/>
            <w:u w:val="single"/>
          </w:rPr>
          <w:t>[2]</w:t>
        </w:r>
      </w:hyperlink>
      <w:r>
        <w:t xml:space="preserve"> (Reuters) - Paragraph 2, Paragraph 8 </w:t>
      </w:r>
      <w:r/>
    </w:p>
    <w:p>
      <w:pPr>
        <w:pStyle w:val="ListBullet"/>
        <w:spacing w:line="240" w:lineRule="auto"/>
        <w:ind w:left="720"/>
      </w:pPr>
      <w:r/>
      <w:hyperlink r:id="rId12">
        <w:r>
          <w:rPr>
            <w:color w:val="0000EE"/>
            <w:u w:val="single"/>
          </w:rPr>
          <w:t>[3]</w:t>
        </w:r>
      </w:hyperlink>
      <w:r>
        <w:t xml:space="preserve"> (Forbes , Fintech innovations to watch in 2026) - Paragraph 2, Paragraph 7 </w:t>
      </w:r>
      <w:r/>
    </w:p>
    <w:p>
      <w:pPr>
        <w:pStyle w:val="ListBullet"/>
        <w:spacing w:line="240" w:lineRule="auto"/>
        <w:ind w:left="720"/>
      </w:pPr>
      <w:r/>
      <w:hyperlink r:id="rId13">
        <w:r>
          <w:rPr>
            <w:color w:val="0000EE"/>
            <w:u w:val="single"/>
          </w:rPr>
          <w:t>[4]</w:t>
        </w:r>
      </w:hyperlink>
      <w:r>
        <w:t xml:space="preserve"> (Deloitte , SaaS and AI agents prediction) - Paragraph 3, Paragraph 7, Paragraph 8 </w:t>
      </w:r>
      <w:r/>
    </w:p>
    <w:p>
      <w:pPr>
        <w:pStyle w:val="ListBullet"/>
        <w:spacing w:line="240" w:lineRule="auto"/>
        <w:ind w:left="720"/>
      </w:pPr>
      <w:r/>
      <w:hyperlink r:id="rId15">
        <w:r>
          <w:rPr>
            <w:color w:val="0000EE"/>
            <w:u w:val="single"/>
          </w:rPr>
          <w:t>[5]</w:t>
        </w:r>
      </w:hyperlink>
      <w:r>
        <w:t xml:space="preserve"> (Deloitte finance trend report) - Paragraph 6, Paragraph 7 </w:t>
      </w:r>
      <w:r/>
    </w:p>
    <w:p>
      <w:pPr>
        <w:pStyle w:val="ListBullet"/>
        <w:spacing w:line="240" w:lineRule="auto"/>
        <w:ind w:left="720"/>
      </w:pPr>
      <w:r/>
      <w:hyperlink r:id="rId14">
        <w:r>
          <w:rPr>
            <w:color w:val="0000EE"/>
            <w:u w:val="single"/>
          </w:rPr>
          <w:t>[6]</w:t>
        </w:r>
      </w:hyperlink>
      <w:r>
        <w:t xml:space="preserve"> (Forbes , AI vs SaaS market analysis) - Paragraph 4, Paragraph 9 </w:t>
      </w:r>
      <w:r/>
    </w:p>
    <w:p>
      <w:pPr>
        <w:pStyle w:val="ListBullet"/>
        <w:spacing w:line="240" w:lineRule="auto"/>
        <w:ind w:left="720"/>
      </w:pPr>
      <w:r/>
      <w:hyperlink r:id="rId10">
        <w:r>
          <w:rPr>
            <w:color w:val="0000EE"/>
            <w:u w:val="single"/>
          </w:rPr>
          <w:t>[7]</w:t>
        </w:r>
      </w:hyperlink>
      <w:r>
        <w:t xml:space="preserve"> (hy_SaaS-und-AI-Pricing-Report_2026) - Paragraph 4,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https://www.younium.com/blog/saas-finance-trends-2026-industry-expert-predictions</w:t>
        </w:r>
      </w:hyperlink>
      <w:r>
        <w:t xml:space="preserve"> - Please view link - unable to able to access data</w:t>
      </w:r>
      <w:r/>
    </w:p>
    <w:p>
      <w:pPr>
        <w:pStyle w:val="ListNumber"/>
        <w:spacing w:line="240" w:lineRule="auto"/>
        <w:ind w:left="720"/>
      </w:pPr>
      <w:r/>
      <w:hyperlink r:id="rId11">
        <w:r>
          <w:rPr>
            <w:color w:val="0000EE"/>
            <w:u w:val="single"/>
          </w:rPr>
          <w:t>https://www.reuters.com/business/finance/barclays-exec-says-top-five-tech-firms-could-need-100-bln-funding-next-year-2025-12-03/</w:t>
        </w:r>
      </w:hyperlink>
      <w:r>
        <w:t xml:space="preserve"> - Major technology firms are expected to significantly increase their debt issuance in 2026 to finance growing investments in artificial intelligence (AI) infrastructure and mergers and acquisitions (M&amp;A). Bank executives estimate that the top five U.S. tech companies may need nearly $100 billion in funding, driven largely by the race to build advanced AI-ready data centers. This shift marks a move from traditional cash reliance to debt markets, with nearly $90 billion in public bond issuance since September from major cloud-computing firms. Additionally, a growing M&amp;A deal backlog is expected to further boost corporate financing, with $175 billion in announced M&amp;A deals awaiting funding, more than double that of the previous year. Executives downplay systemic risk, citing strong and diverse cash flows backing the corporate debt, primarily secured by tangible assets such as data centers in development. Overall, 2026 is projected to see a surge in investment-grade corporate debt driven by technological expansion and consolidation.</w:t>
      </w:r>
      <w:r/>
    </w:p>
    <w:p>
      <w:pPr>
        <w:pStyle w:val="ListNumber"/>
        <w:spacing w:line="240" w:lineRule="auto"/>
        <w:ind w:left="720"/>
      </w:pPr>
      <w:r/>
      <w:hyperlink r:id="rId12">
        <w:r>
          <w:rPr>
            <w:color w:val="0000EE"/>
            <w:u w:val="single"/>
          </w:rPr>
          <w:t>https://www.forbes.com/sites/matthewmeade/2025/12/08/fintech-innovations-to-watch-in-2026/</w:t>
        </w:r>
      </w:hyperlink>
      <w:r>
        <w:t xml:space="preserve"> - Entering 2026, Banking-as-a-Service (BaaS) is becoming the primary channel through which financial services reach customers. A transformative theme is the shift from generative AI to agentic AI; autonomous systems capable of completing multi-step tasks without human intervention. Financial institutions are increasingly moving from AI 'assistants' to AI 'operators.' According to a 2025 GlobalNewsWire Report, the top processes for deploying cloud-native AI agents at scale in banks include fraud detection (64%), loan processing (61%), and customer onboarding (59%). Currently, automated customer support resolves over 70% of tickets without human involvement. These agentic systems do more than answer questions; they execute entire workflows: initiating payments, performing Anti-Money Laundering (AML) checks, resolving disputes, drafting compliance reports, and managing credit decisions. Financial institutions that embrace agentic AI architectures will operate with super-human speed, real-time adaptability, and near-zero marginal cost. The future of finance is intelligent, embedded, predictive, and autonomous, with predictive markets, BaaS, and agentic AI forming the core infrastructure of modern finance.</w:t>
      </w:r>
      <w:r/>
    </w:p>
    <w:p>
      <w:pPr>
        <w:pStyle w:val="ListNumber"/>
        <w:spacing w:line="240" w:lineRule="auto"/>
        <w:ind w:left="720"/>
      </w:pPr>
      <w:r/>
      <w:hyperlink r:id="rId13">
        <w:r>
          <w:rPr>
            <w:color w:val="0000EE"/>
            <w:u w:val="single"/>
          </w:rPr>
          <w:t>https://www.deloitte.com/us/en/insights/industry/technology/technology-media-and-telecom-predictions/2026/saas-ai-agents.html</w:t>
        </w:r>
      </w:hyperlink>
      <w:r>
        <w:t xml:space="preserve"> - As agentic AI capabilities mature and enterprise Software-as-a-Service (SaaS) vendors build out their platforms to create, integrate, and orchestrate AI agents, how organizations purchase and use software could shift dramatically. In 2026, SaaS applications will likely become more intelligent, personalized, adaptive, and autonomous, evolving towards a federation of real-time workflow services that can learn from their experiences. This evolution should disrupt traditional pricing models. Subscriptions and seat-based licensing could give way to hybrid approaches that blend usage- and outcome-based pricing. These advancements will likely introduce new complexity in both software implementation and monetization, potentially redefining the entire SaaS business model. While parts of enterprise applications could eventually be replaced by agents, this future may take at least five years or more to come to fruition, even with the rapid pace of technological development and investment around agentic AI. In 2026, we will likely see a lot of experimentation, a general augmentation of capabilities, and a slow restructuring of the SaaS market, with AI-first companies competing.</w:t>
      </w:r>
      <w:r/>
    </w:p>
    <w:p>
      <w:pPr>
        <w:pStyle w:val="ListNumber"/>
        <w:spacing w:line="240" w:lineRule="auto"/>
        <w:ind w:left="720"/>
      </w:pPr>
      <w:r/>
      <w:hyperlink r:id="rId15">
        <w:r>
          <w:rPr>
            <w:color w:val="0000EE"/>
            <w:u w:val="single"/>
          </w:rPr>
          <w:t>https://www2.deloitte.com/content/dam/Deloitte/it/Documents/technology/deloitte-finance-trend-epm-technologies.pdf</w:t>
        </w:r>
      </w:hyperlink>
      <w:r>
        <w:t xml:space="preserve"> - By 2026, more than 80% of banks are expected to have adopted Generative AI (GenAI), up from current levels of 5%. By 2027, 90% of service providers are projected to utilize GenAI for software development services, up from 26% in 2023. By 2027, AI-driven personalized adaptive user interfaces are projected to be used in 35% of new applications, up from under 5% today. AI applications are expected to accelerate time to operational and business results by optimizing processes and minimizing latency. Generative AI can be used in combination with underlying data platforms to effectively enable value creation in terms of cost reduction, understanding complexity, and decision-making by deciphering patterns, connecting dots, and predicting outcomes from increasingly complex sources.</w:t>
      </w:r>
      <w:r/>
    </w:p>
    <w:p>
      <w:pPr>
        <w:pStyle w:val="ListNumber"/>
        <w:spacing w:line="240" w:lineRule="auto"/>
        <w:ind w:left="720"/>
      </w:pPr>
      <w:r/>
      <w:hyperlink r:id="rId14">
        <w:r>
          <w:rPr>
            <w:color w:val="0000EE"/>
            <w:u w:val="single"/>
          </w:rPr>
          <w:t>https://www.forbes.com/sites/libertbarry/2025/09/09/the-best-and-worst-of-times-----ai-vs-saas-for-1-trillion-market/</w:t>
        </w:r>
      </w:hyperlink>
      <w:r>
        <w:t xml:space="preserve"> - In 2025, AI spending is projected to approach $650 billion, growing at a rate of more than 75% per year. In comparison, SaaS spending is growing at over 18% per year, with $300 billion invested in SaaS this year. This indicates a significant shift in investment towards AI, with $120+ billion in venture capital going to AI startups in Q2 2025, and North American AI investments representing more than 85% of global AI funding. This contrasts with SaaS funding, which is in decline and has hit its lowest level since late 2023. Twenty-four AI startups raised $100 million+ rounds in Q1 of 2025, with OpenAI’s $40 billion round in March 2025 being the largest private funding round ever. Investors are reallocating their tech capital to AI, highlighting the growing dominance of AI over SaaS in the market.</w:t>
      </w:r>
      <w:r/>
    </w:p>
    <w:p>
      <w:pPr>
        <w:pStyle w:val="ListNumber"/>
        <w:spacing w:line="240" w:lineRule="auto"/>
        <w:ind w:left="720"/>
      </w:pPr>
      <w:r/>
      <w:hyperlink r:id="rId10">
        <w:r>
          <w:rPr>
            <w:color w:val="0000EE"/>
            <w:u w:val="single"/>
          </w:rPr>
          <w:t>https://pricing.hy.co/wp-content/uploads/2025/10/hy_SaaS-und-AI-Pricing-Report_2026_ENG.pdf</w:t>
        </w:r>
      </w:hyperlink>
      <w:r>
        <w:t xml:space="preserve"> - AI integration in the product landscape of SaaS companies is around 40%, both in the form of standalone products and AI-supported features. The survey results show that 42% of companies use AI-based solutions for internal processes and automation, 28% use AI-based solutions in their products but not as standalone features, and 26% offer AI-supported features or standalone AI products. This underscores the trend toward active productization of AI, with companies positioning themselves as significantly more innovative and using AI specifically to expand their range of services. AI is no longer seen as an option but as a standard tool, both internally and in the market, used on several levels from increasing internal efficiency to actively differentiating products.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ounium.com/blog/saas-finance-trends-2026-industry-expert-predictions" TargetMode="External"/><Relationship Id="rId10" Type="http://schemas.openxmlformats.org/officeDocument/2006/relationships/hyperlink" Target="https://pricing.hy.co/wp-content/uploads/2025/10/hy_SaaS-und-AI-Pricing-Report_2026_ENG.pdf" TargetMode="External"/><Relationship Id="rId11" Type="http://schemas.openxmlformats.org/officeDocument/2006/relationships/hyperlink" Target="https://www.reuters.com/business/finance/barclays-exec-says-top-five-tech-firms-could-need-100-bln-funding-next-year-2025-12-03/" TargetMode="External"/><Relationship Id="rId12" Type="http://schemas.openxmlformats.org/officeDocument/2006/relationships/hyperlink" Target="https://www.forbes.com/sites/matthewmeade/2025/12/08/fintech-innovations-to-watch-in-2026/" TargetMode="External"/><Relationship Id="rId13" Type="http://schemas.openxmlformats.org/officeDocument/2006/relationships/hyperlink" Target="https://www.deloitte.com/us/en/insights/industry/technology/technology-media-and-telecom-predictions/2026/saas-ai-agents.html" TargetMode="External"/><Relationship Id="rId14" Type="http://schemas.openxmlformats.org/officeDocument/2006/relationships/hyperlink" Target="https://www.forbes.com/sites/libertbarry/2025/09/09/the-best-and-worst-of-times-----ai-vs-saas-for-1-trillion-market/" TargetMode="External"/><Relationship Id="rId15" Type="http://schemas.openxmlformats.org/officeDocument/2006/relationships/hyperlink" Target="https://www2.deloitte.com/content/dam/Deloitte/it/Documents/technology/deloitte-finance-trend-epm-technologies.pd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