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2025 catastrophe bond surge accelerates reinsurance market shift and price pressure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rapid expansion of the catastrophe bond market in 2025 is reshaping the reinsurance landscape, squeezing pricing and prompting a strategic rethink among traditional reinsurers, according to market participants and recent research. Barclays Research warned that current cat bond dynamics are "negative for both the reinsurance market and pricing cycle", as record issuance, tighter spreads and growing sponsor participation combine to create fresh competitive pressure on conventional reinsurance programmes. </w:t>
      </w:r>
      <w:hyperlink r:id="rId9">
        <w:r>
          <w:rPr>
            <w:color w:val="0000EE"/>
            <w:u w:val="single"/>
          </w:rPr>
          <w:t>[1]</w:t>
        </w:r>
      </w:hyperlink>
      <w:hyperlink r:id="rId10">
        <w:r>
          <w:rPr>
            <w:color w:val="0000EE"/>
            <w:u w:val="single"/>
          </w:rPr>
          <w:t>[2]</w:t>
        </w:r>
      </w:hyperlink>
      <w:r/>
    </w:p>
    <w:p>
      <w:r/>
      <w:r>
        <w:t xml:space="preserve">Investor appetite and sponsor demand have driven extraordinary issuance this year. Data tracked through the year shows 144A cat bond issuance approaching $19.1 billion by the end of Q3 and, when private deals are included, totals above $19.7 billion , with additional Q4 transactions still settling , putting full-year issuance on track to exceed $20 billion and possibly reach $20–23 billion under Barclays' scenario. Industry reports from Aon and Moody's similarly record record-breaking activity, with outstanding ILS and cat bond volumes rising sharply through mid-2025.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r/>
    </w:p>
    <w:p>
      <w:r/>
      <w:r>
        <w:t xml:space="preserve">Barclays notes a marked shift in the constituency of sponsors: primary insurers now originate around 58% of cat bonds, up from 48% two years earlier. Industry observers say this deeper insurer participation reflects growing acceptance of cat bonds as core, repeatable reinsurance or retrocession purchases and a preference for multi-year, collateralised protection amid evolving capital and modelling demands. Aon and Moody's both report insurer-led issuance as a central feature of the market's expansion.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r/>
    </w:p>
    <w:p>
      <w:r/>
      <w:r>
        <w:t xml:space="preserve">The surge in alternative capital has been matched by attractive returns for investors, which in turn fuels further inflows. Barclays observed that insurance-linked strategies have outperformed wider hedge fund groups since December 2022, citing returns of 13% in 2024 and around 8% in the first nine months of 2025. Aon's data shows catastrophe bonds delivered double-digit returns for investors in the most recent 12‑month windows, while higher collateral yields in a raised interest-rate environment have bolstered coupon income. Those performance metrics underpin the share price- and spread-compression dynamics now visible across new issuance.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Spread compression is the clearest transmission mechanism to reinsurers. Barclays calculated that over the first nine months of 2025 the cat bond multiple compressed by roughly 22% versus the same period a year earlier , investors now accept lower spreads relative to expected loss than in 2024 , and it flagged a -21% change for 2025 issuance as a potential leading indicator for broader reinsurance pricing. AM Best and other market reports record similar downward pressure on reinsurance pricing, with mid‑2025 renewals already showing material declines. </w:t>
      </w:r>
      <w:hyperlink r:id="rId9">
        <w:r>
          <w:rPr>
            <w:color w:val="0000EE"/>
            <w:u w:val="single"/>
          </w:rPr>
          <w:t>[1]</w:t>
        </w:r>
      </w:hyperlink>
      <w:hyperlink r:id="rId10">
        <w:r>
          <w:rPr>
            <w:color w:val="0000EE"/>
            <w:u w:val="single"/>
          </w:rPr>
          <w:t>[2]</w:t>
        </w:r>
      </w:hyperlink>
      <w:hyperlink r:id="rId13">
        <w:r>
          <w:rPr>
            <w:color w:val="0000EE"/>
            <w:u w:val="single"/>
          </w:rPr>
          <w:t>[5]</w:t>
        </w:r>
      </w:hyperlink>
      <w:r/>
    </w:p>
    <w:p>
      <w:r/>
      <w:r>
        <w:t xml:space="preserve">Market structure has also changed: issuance has tilted towards larger deals, a North America concentration of perils and a gradual move into risk layers that were previously the preserve of reinsurers. Aon notes a greater incidence of deals tied to North American perils and larger average transaction sizes, while Barclays and Moody's highlight a modest rise in expected-loss metrics for new tranches , signalling sponsors are placing more frequent-loss, lower-attachment layers with capital markets. That said, Barclays emphasises that average expected loss on 9M25 issuance remained around 2.2% (circa a 1-in-45 year occurrence), well below the 2012–17 soft-market highs. </w:t>
      </w:r>
      <w:hyperlink r:id="rId11">
        <w:r>
          <w:rPr>
            <w:color w:val="0000EE"/>
            <w:u w:val="single"/>
          </w:rPr>
          <w:t>[3]</w:t>
        </w:r>
      </w:hyperlink>
      <w:hyperlink r:id="rId9">
        <w:r>
          <w:rPr>
            <w:color w:val="0000EE"/>
            <w:u w:val="single"/>
          </w:rPr>
          <w:t>[1]</w:t>
        </w:r>
      </w:hyperlink>
      <w:hyperlink r:id="rId12">
        <w:r>
          <w:rPr>
            <w:color w:val="0000EE"/>
            <w:u w:val="single"/>
          </w:rPr>
          <w:t>[4]</w:t>
        </w:r>
      </w:hyperlink>
      <w:r/>
    </w:p>
    <w:p>
      <w:r/>
      <w:r>
        <w:t xml:space="preserve">The growth of sidecars and proportional structures sponsored by global reinsurers is adding nuance to the picture. Market commentary points to sidecars being used to manage frequency and underwriting volatility and to provide proportional capacity, while reinsurers themselves remain well capitalised and may respond by shifting deployment to pockets of the tower where capital‑market solutions are less prevalent. Barclays suggests reinsurers could focus on layers where cat bonds are scarce while still leveraging the cost-efficient multi-year protection the capital markets can supply. </w:t>
      </w:r>
      <w:hyperlink r:id="rId9">
        <w:r>
          <w:rPr>
            <w:color w:val="0000EE"/>
            <w:u w:val="single"/>
          </w:rPr>
          <w:t>[1]</w:t>
        </w:r>
      </w:hyperlink>
      <w:hyperlink r:id="rId11">
        <w:r>
          <w:rPr>
            <w:color w:val="0000EE"/>
            <w:u w:val="single"/>
          </w:rPr>
          <w:t>[3]</w:t>
        </w:r>
      </w:hyperlink>
      <w:r/>
    </w:p>
    <w:p>
      <w:r/>
      <w:r>
        <w:t xml:space="preserve">For protection buyers the present conditions represent an opportunity: heavily oversubscribed new issues and tighter pricing create a window to secure multi‑year protection from alternative capital at competitive cost-of-capital levels. But the broader industry faces a strategic choice , lean into capital‑market solutions and accept potentially faster rate erosion, or emphasise long‑term discipline and selectivity to preserve sustainable pricing. Barclays and other industry sources caution that the cat bond market's growth has been an "important contributor" to the reinsurance pricing cycle and that past movements in cat bond multiples have preceded wider rate adjustments. How the 1/1 renewals play out will be a decisive test of which path prevails.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In sum, 2025 has confirmed catastrophe bonds as a major, mainstream conduit for transferring catastrophe and climate risk, offering investors attractive returns and protection buyers plentiful capacity. That success is exerting real downward pressure on traditional reinsurance pricing and prompting strategic repositioning across the sector , a development market participants and analysts say will have implications for renewals into 2026 and beyond.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(Artemis) - Paragraph 1, Paragraph 2, Paragraph 3, Paragraph 4, Paragraph 5, Paragraph 6, Paragraph 7, Paragraph 8 </w:t>
      </w:r>
      <w:r/>
    </w:p>
    <w:p>
      <w:pPr>
        <w:pStyle w:val="ListBullet"/>
        <w:spacing w:line="240" w:lineRule="auto"/>
        <w:ind w:left="720"/>
      </w:pPr>
      <w:r/>
      <w:hyperlink r:id="rId10">
        <w:r>
          <w:rPr>
            <w:color w:val="0000EE"/>
            <w:u w:val="single"/>
          </w:rPr>
          <w:t>[2]</w:t>
        </w:r>
      </w:hyperlink>
      <w:r>
        <w:t xml:space="preserve"> (Artemis - duplicate summary) - Paragraph 1, Paragraph 2, Paragraph 3, Paragraph 5, Paragraph 7, Paragraph 8 </w:t>
      </w:r>
      <w:r/>
    </w:p>
    <w:p>
      <w:pPr>
        <w:pStyle w:val="ListBullet"/>
        <w:spacing w:line="240" w:lineRule="auto"/>
        <w:ind w:left="720"/>
      </w:pPr>
      <w:r/>
      <w:hyperlink r:id="rId11">
        <w:r>
          <w:rPr>
            <w:color w:val="0000EE"/>
            <w:u w:val="single"/>
          </w:rPr>
          <w:t>[3]</w:t>
        </w:r>
      </w:hyperlink>
      <w:r>
        <w:t xml:space="preserve"> (Global Reinsurance / Aon) - Paragraph 2, Paragraph 3, Paragraph 4, Paragraph 6, Paragraph 7, Paragraph 8 </w:t>
      </w:r>
      <w:r/>
    </w:p>
    <w:p>
      <w:pPr>
        <w:pStyle w:val="ListBullet"/>
        <w:spacing w:line="240" w:lineRule="auto"/>
        <w:ind w:left="720"/>
      </w:pPr>
      <w:r/>
      <w:hyperlink r:id="rId12">
        <w:r>
          <w:rPr>
            <w:color w:val="0000EE"/>
            <w:u w:val="single"/>
          </w:rPr>
          <w:t>[4]</w:t>
        </w:r>
      </w:hyperlink>
      <w:r>
        <w:t xml:space="preserve"> (Insurance Business / Moody's) - Paragraph 2, Paragraph 6, Paragraph 8 </w:t>
      </w:r>
      <w:r/>
    </w:p>
    <w:p>
      <w:pPr>
        <w:pStyle w:val="ListBullet"/>
        <w:spacing w:line="240" w:lineRule="auto"/>
        <w:ind w:left="720"/>
      </w:pPr>
      <w:r/>
      <w:hyperlink r:id="rId13">
        <w:r>
          <w:rPr>
            <w:color w:val="0000EE"/>
            <w:u w:val="single"/>
          </w:rPr>
          <w:t>[5]</w:t>
        </w:r>
      </w:hyperlink>
      <w:r>
        <w:t xml:space="preserve"> (Risk &amp; Insurance / AM Best) - Paragraph 5, Paragraph 8</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https://www.artemis.bm/news/cat-bond-market-dynamics-seen-negative-for-reinsurance-market-pricing-cycle-by-barclays/?utm_source=rss&amp;utm_medium=rss&amp;utm_campaign=cat-bond-market-dynamics-seen-negative-for-reinsurance-market-pricing-cycle-by-barclays</w:t>
        </w:r>
      </w:hyperlink>
      <w:r>
        <w:t xml:space="preserve"> - Please view link - unable to able to access data</w:t>
      </w:r>
      <w:r/>
    </w:p>
    <w:p>
      <w:pPr>
        <w:pStyle w:val="ListNumber"/>
        <w:spacing w:line="240" w:lineRule="auto"/>
        <w:ind w:left="720"/>
      </w:pPr>
      <w:r/>
      <w:hyperlink r:id="rId10">
        <w:r>
          <w:rPr>
            <w:color w:val="0000EE"/>
            <w:u w:val="single"/>
          </w:rPr>
          <w:t>https://www.artemis.bm/news/cat-bond-market-dynamics-seen-negative-for-reinsurance-market-pricing-cycle-by-barclays/</w:t>
        </w:r>
      </w:hyperlink>
      <w:r>
        <w:t xml:space="preserve"> - A recent Barclays Research report indicates that current catastrophe bond market dynamics are perceived as negative for both the reinsurance market and pricing cycle. Lower new cat bond spread multiples in Q4 suggest a market firing on all cylinders and a protection buying opportunity, but with ramifications for the traditional reinsurance side. Estimates from Barclays show that primary insurers now sponsor 58% of all catastrophe bonds, up from 48% two years ago. The report also highlights the growing importance of cat bonds as a catastrophe and climate risk transfer and reinsurance tool, supported by record issuance levels and wider adoption among insurers. However, this trend could heighten competition and potentially disintermediate traditional reinsurers. The catastrophe bond market is having a substantial year in 2025, with total 144A cat bond issuance reaching almost $19.1 billion by September 30th, and private cat bond deals bringing the total to over $19.7 billion. Barclays projects that if Q4 2025 sees average issuance for the past five years, issuance for the year should exceed US$20-23 billion. The report also notes that the growth in the stock of reinsurance capital in 2023-25 has been driven by strong returns that traditional reinsurers have generated in this period, with an additional US$19 billion added to the stock in 2023-1H25, bringing the total to US$55 billion of cat bonds outstanding as of end-2Q25. Barclays regards the rapid expansion of the cat bond market as an important contributor to the reinsurance pricing cycle, with 2023 pricing being the peak, and 2025-26 showing clear signs of price correction. The report also outlines how ILS fund returns significantly improved during the hard market, with insurance-linked strategies outperforming the broader hedge fund group since December 2022. The growing acceptance of cat bonds by sponsors as a core and repeatable reinsurance or retrocession purchase is also highlighted, along with the proliferation of sidecars, a key trend emerging within the ILS space in recent years. Barclays suggests that the negative effect of ILS market competition on reinsurance pricing is evident, with the cat bond multiple compressing by 22% over 9M25 compared to 9M24. The report also notes a gradual shift of new issuance towards more frequent loss events, including what reinsurers may consider working layers with a high chance that part of or the entire layer may get hit by claims. Barclays concludes that changes in cat bond multiples have often been a leading indicator for broader reinsurance pricing, and the -21% change for 2025 issuance is viewed in that context. The report also highlights that spread compression in new catastrophe bond issuance has accelerated in recent weeks of the fourth-quarter, with some deals now coming in meaningfully below comparable tranches offered only a couple of years ago. This suggests a softening of more than 20% in two years, which will likely result in additional pressure on pricing of traditional reinsurance at the end of year renewals. The report also notes that while this indicates meaningful price softening could be ahead, the capital markets have seen spread compression across a wide range of asset classes over the last year, and investors are looking to stable return-drivers that can deliver over longer horizons, something cat bonds have proven out over their history. The report concludes that cost-of-capital is still king in reinsurance, as long as you're meeting it, while covering loss costs, expenses, and a margin. Currently, the cat bond market is exhibiting that it believes its cost-of-capital is highly competitive, although naturally, the liquidity in the market is also playing a significant role in price dynamics. It will be interesting to see how traditional reinsurers respond given their strong capitalisation as well. Reinsurers could opt to focus their capacity deployment on layers where the catastrophe bond is less prevalent, while taking full advantage of the cost-efficient multi-year protection the capital markets can offer at the same time. There is a clear opportunity for protection buyers in the cat bond market at this time, and while issuance might be exceeding maturities, the levels of investor interest suggest it may prove persistent for a time. Whether that's a smarter choice, opting for longer-term sustainability of market dynamics over accelerated competition and rate declines, is still debatable for an industry always seeking to avoid disruption and disintermediation. We'll have to wait and see how 1/1 plays out against a backdrop of such strong catastrophe bond market issuance conditions.</w:t>
      </w:r>
      <w:r/>
    </w:p>
    <w:p>
      <w:pPr>
        <w:pStyle w:val="ListNumber"/>
        <w:spacing w:line="240" w:lineRule="auto"/>
        <w:ind w:left="720"/>
      </w:pPr>
      <w:r/>
      <w:hyperlink r:id="rId11">
        <w:r>
          <w:rPr>
            <w:color w:val="0000EE"/>
            <w:u w:val="single"/>
          </w:rPr>
          <w:t>https://www.globalreinsurance.com/home/ils-market-hits-121bn-as-cat-bond-issuance-breaks-new-records-aon/1456196.article</w:t>
        </w:r>
      </w:hyperlink>
      <w:r>
        <w:t xml:space="preserve"> - Aon's latest annual report reveals that the insurance-linked securities (ILS) market has reached a record size, with outstanding alternative capital hitting $121 billion by mid-2025. The 'ILS Annual Report – September 2025' indicates that catastrophe bond issuance surpassed $21.7 billion in the 12 months to June 30, 2025, marking the most active period in the market's history. Total outstanding cat bond volume rose by 19% year-on-year to a record $54 billion, driven by higher issuance and reinvestment of maturing capital. Richard Pennay, CEO of Aon Securities, stated that demand for ILS capacity continues to surge, driven by higher building costs, evolving weather trends, and the push to close the protection gap. Investor appetite and insurer demand are contributing to the growth, with cat bonds returning 14.1% for investors in the period. The first half of 2025 alone saw 56 cat bond deals worth $17 billion, matching the full-year issuance for 2024 in just six months. Average deal size rose 12% to $302 million. Issuer participation also deepened, with insurers accounting for 58% of total issuance, reflecting growing demand for multi-year collateralised protection in the face of higher capital requirements under new modelling standards. Regional concentration has intensified, with 93% of issuance in the past year related to North American perils, and Florida-specific bonds increasing 46% to a record $5 billion. For cedents, sidecars provide proportional capacity that helps manage claims frequency and underwriting volatility. For investors, they deliver equity-like returns while diversifying away from property catastrophe exposures. Investor demand continued to outstrip supply in the secondary market, with spreads tightening through late 2024 and early 2025, remaining attractive relative to other fixed-income products. Macroeconomic pressures, including tariffs and higher rebuilding costs, had limited direct impact on ILS. Elevated collateral yields from the higher interest rate environment further boosted returns, with coupon income estimated at $7 billion in the period. The report also points to the growing use of cat bonds beyond tail protection, with cedents increasingly deploying them as a strategic complement to traditional reinsurance across multiple layers of protection. Industry loss triggers are shifting to higher-risk layers, offering investors higher spreads and issuers more flexibility.</w:t>
      </w:r>
      <w:r/>
    </w:p>
    <w:p>
      <w:pPr>
        <w:pStyle w:val="ListNumber"/>
        <w:spacing w:line="240" w:lineRule="auto"/>
        <w:ind w:left="720"/>
      </w:pPr>
      <w:r/>
      <w:hyperlink r:id="rId12">
        <w:r>
          <w:rPr>
            <w:color w:val="0000EE"/>
            <w:u w:val="single"/>
          </w:rPr>
          <w:t>https://www.insurancebusinessmag.com/reinsurance/news/breaking-news/cat-bond-market-surges-past-record-high-and-its-still-growing--moodys-548602.aspx</w:t>
        </w:r>
      </w:hyperlink>
      <w:r>
        <w:t xml:space="preserve"> - Moody's reports that catastrophe bond issuance is poised to set a new record in 2025, with approximately US$18.4 billion in cat bond issuance from 87 transactions as of August 28, already surpassing the previous annual high of US$17.7 billion set in 2024. Moody's projects that total issuance could exceed US$20 billion by year-end, driven by strong demand from sponsors seeking risk transfer capacity and investors attracted by risk-adjusted returns. Despite significant catastrophe activity, including hurricanes and wildfires, investor losses in the cat bond market were limited over the past year. Catastrophe bonds delivered a 14.1% return over the 12-month period ending June 2025, according to Aon's Catastrophe Bond Total Return Index. The alternative capital markets have grown significantly, reaching US$121 billion as of June 30, 2025. Catastrophe bonds have been the largest contributor to this growth, accounting for about 45% of the alternative capital market. On a full-year basis, data shows that catastrophe bond issuance hit an all-time high of US$17.7 billion in 2024, even as the number of deals declined slightly compared to 2023. The trend of fewer but larger deals has continued in 2025, with outstanding catastrophe bonds now at a record US$56 billion. Insurer participation in catastrophe bond issuances has also increased, accounting for 58% of all issuances in the most recent period. Nearly all new deals (93%) were tied to North American perils, with Florida-focused issuance reaching a record US$5 billion. Moody's expects these market conditions to persist into 2026, with elevated demand for property catastrophe reinsurance, strong pricing, and attractive returns likely to drive further expansion. With around US$14 billion in cat bonds maturing over the next four quarters, the market is positioned for continued high levels of new issuance.</w:t>
      </w:r>
      <w:r/>
    </w:p>
    <w:p>
      <w:pPr>
        <w:pStyle w:val="ListNumber"/>
        <w:spacing w:line="240" w:lineRule="auto"/>
        <w:ind w:left="720"/>
      </w:pPr>
      <w:r/>
      <w:hyperlink r:id="rId13">
        <w:r>
          <w:rPr>
            <w:color w:val="0000EE"/>
            <w:u w:val="single"/>
          </w:rPr>
          <w:t>https://riskandinsurance.com/reinsurance-market-shifts-to-buyers-favor-as-cat-bond-issuance-shatters-records/</w:t>
        </w:r>
      </w:hyperlink>
      <w:r>
        <w:t xml:space="preserve"> - Despite $40 billion in wildfire losses, competitive pressures drive pricing down while ILS capacity surges toward $114 billion in 2025: AM Best. Reinsurance pricing declined approximately 10% at June 2025 renewals, marking the most favorable conditions for reinsurance buyers in years as record catastrophe bond issuance of $16.8 billion in the first half outpaced full-year 2024 issuance levels, according to AM Best. The insurance-linked securities (ILS) market is experiencing unprecedented growth, with first-half 2025 CAT bond issuance reaching $16.8 billion compared to $12.1 billion in the same period last year. First-quarter issuance jumped 63% year-over-year to $6.3 billion, while second quarter volume rose 28% to $10.5 billion, pushing outstanding CAT bond volume to a record $52.7 billion, according to AM Best. The record-breaking surge reflects strong investor appetite despite tightening spreads, according to the report. Loss multiples—the ratio of spread to expected loss—have continued their downward trend, indicating investors are accepting lower returns for the risks they assume, AM Best noted. The final issuance volume for the first half of 2025 exceeded target volumes by 29.9%, demonstrating sponsors’ confidence in capital markets and investors’ belief that pricing remains attractive. A significant shift in sponsor composition has emerged, with small- to medium-sized U.S. domestic insurers now commanding 35.2% market share, up from 21.2% in 2024, according to the report. These insurers are increasingly turning to capital markets as traditional reinsurance remains expensive, seeking fully collateralized multi</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temis.bm/news/cat-bond-market-dynamics-seen-negative-for-reinsurance-market-pricing-cycle-by-barclays/?utm_source=rss&amp;utm_medium=rss&amp;utm_campaign=cat-bond-market-dynamics-seen-negative-for-reinsurance-market-pricing-cycle-by-barclays" TargetMode="External"/><Relationship Id="rId10" Type="http://schemas.openxmlformats.org/officeDocument/2006/relationships/hyperlink" Target="https://www.artemis.bm/news/cat-bond-market-dynamics-seen-negative-for-reinsurance-market-pricing-cycle-by-barclays/" TargetMode="External"/><Relationship Id="rId11" Type="http://schemas.openxmlformats.org/officeDocument/2006/relationships/hyperlink" Target="https://www.globalreinsurance.com/home/ils-market-hits-121bn-as-cat-bond-issuance-breaks-new-records-aon/1456196.article" TargetMode="External"/><Relationship Id="rId12" Type="http://schemas.openxmlformats.org/officeDocument/2006/relationships/hyperlink" Target="https://www.insurancebusinessmag.com/reinsurance/news/breaking-news/cat-bond-market-surges-past-record-high-and-its-still-growing--moodys-548602.aspx" TargetMode="External"/><Relationship Id="rId13" Type="http://schemas.openxmlformats.org/officeDocument/2006/relationships/hyperlink" Target="https://riskandinsurance.com/reinsurance-market-shifts-to-buyers-favor-as-cat-bond-issuance-shatters-records/"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