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Connected insurance revolution accelerates with real-time data and AI-driven risk management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Insurance is undergoing a structural shift as the static, retrospective datasets that once underpinned underwriting and claims give way to continuous, real‑world telemetry from connected devices. According to the original report, streams from vehicles, homes, factories, wearables and public data sources are enabling insurers to price risk more accurately, prevent losses, settle claims faster and launch usage‑ and event‑based products. </w:t>
      </w:r>
      <w:hyperlink r:id="rId9">
        <w:r>
          <w:rPr>
            <w:color w:val="0000EE"/>
            <w:u w:val="single"/>
          </w:rPr>
          <w:t>[1]</w:t>
        </w:r>
      </w:hyperlink>
      <w:r/>
    </w:p>
    <w:p>
      <w:r/>
      <w:r>
        <w:t xml:space="preserve">At the heart of "connected insurance" is a lifecycle approach: underwriting, pricing, risk management, claims and customer engagement are all informed by live sensor feeds and analytics rather than periodic declarations and historical snapshots. The lead article details sources such as telematics, smart‑home sensors, industrial IoT, wearables and satellite imagery and stresses that connected offerings are often usage‑based, prevention‑oriented and tightly integrated with AI ecosystems. </w:t>
      </w:r>
      <w:hyperlink r:id="rId9">
        <w:r>
          <w:rPr>
            <w:color w:val="0000EE"/>
            <w:u w:val="single"/>
          </w:rPr>
          <w:t>[1]</w:t>
        </w:r>
      </w:hyperlink>
      <w:r/>
    </w:p>
    <w:p>
      <w:r/>
      <w:r>
        <w:t xml:space="preserve">Practical applications span personal lines, pay‑as‑you‑drive and smart‑home prevention, to complex corporate covers for cyber, manufacturing and energy. In motor insurance, telematics provides granular inputs (speed, acceleration, time‑of‑day, GPS) that enable PAYD and PHYD products, on‑demand coverage and automated FNOL. For property and industrial risks, sensors for leaks, vibration, temperature and structural health support early intervention and remote claims triage. The lead article lays out these sectoral use cases in detail. </w:t>
      </w:r>
      <w:hyperlink r:id="rId9">
        <w:r>
          <w:rPr>
            <w:color w:val="0000EE"/>
            <w:u w:val="single"/>
          </w:rPr>
          <w:t>[1]</w:t>
        </w:r>
      </w:hyperlink>
      <w:r/>
    </w:p>
    <w:p>
      <w:r/>
      <w:r>
        <w:t xml:space="preserve">Market analyses and industry reports corroborate the commercial momentum behind solutions. One market study shows IoT solutions accounted for roughly 67.5% of the IoT‑insurance market in 2024, driven by adoption of analytics and UBI models in auto and health. Another consultancy finds that insurers who embed smart technologies can reduce claims costs by as much as 30% through proactive risk management, while predictive analytics can speed underwriting by about 20%. These figures underline why vendors and carriers are prioritising platform and device solutions. </w:t>
      </w:r>
      <w:hyperlink r:id="rId10">
        <w:r>
          <w:rPr>
            <w:color w:val="0000EE"/>
            <w:u w:val="single"/>
          </w:rPr>
          <w:t>[4]</w:t>
        </w:r>
      </w:hyperlink>
      <w:hyperlink r:id="rId11">
        <w:r>
          <w:rPr>
            <w:color w:val="0000EE"/>
            <w:u w:val="single"/>
          </w:rPr>
          <w:t>[2]</w:t>
        </w:r>
      </w:hyperlink>
      <w:r/>
    </w:p>
    <w:p>
      <w:r/>
      <w:r>
        <w:t xml:space="preserve">The technology stack enabling this transition combines device management, diverse connectivity (cellular, LPWAN, satellite), time‑series data platforms, AI‑driven analytics and integration into core policy, billing and claims systems. The lead article sketches an end‑to‑end architecture from edge preprocessing to real‑time scoring and MLOps for model management, emphasising the importance of secure device design and reliable telemetry. Industry advisers similarly highlight AI and digital twins as key capabilities layered over IoT data. </w:t>
      </w:r>
      <w:hyperlink r:id="rId9">
        <w:r>
          <w:rPr>
            <w:color w:val="0000EE"/>
            <w:u w:val="single"/>
          </w:rPr>
          <w:t>[1]</w:t>
        </w:r>
      </w:hyperlink>
      <w:r>
        <w:t>[8?]</w:t>
      </w:r>
      <w:hyperlink r:id="rId12">
        <w:r>
          <w:rPr>
            <w:color w:val="0000EE"/>
            <w:u w:val="single"/>
          </w:rPr>
          <w:t>[6]</w:t>
        </w:r>
      </w:hyperlink>
      <w:r/>
    </w:p>
    <w:p>
      <w:r/>
      <w:r>
        <w:t xml:space="preserve">But adoption brings material operational and systemic risks. A market intelligence report warns of cybersecurity exposures and the difficulty carriers face integrating high‑velocity IoT feeds with legacy cores; many insurers still rely on decades‑old policy systems that cannot natively process streaming telemetry, creating costly modernisation needs. The same analysis cites a July 2024 global IT outage that affected an estimated 8.5 million systems and produced economic losses in the order of USD 10–15 billion, illustrating how interconnected failures can cascade through digital supply chains. </w:t>
      </w:r>
      <w:hyperlink r:id="rId13">
        <w:r>
          <w:rPr>
            <w:color w:val="0000EE"/>
            <w:u w:val="single"/>
          </w:rPr>
          <w:t>[3]</w:t>
        </w:r>
      </w:hyperlink>
      <w:r/>
    </w:p>
    <w:p>
      <w:r/>
      <w:r>
        <w:t xml:space="preserve">Security, privacy and governance concerns are therefore central. The lead article stresses informed consent, data minimisation, encryption and regulatory compliance (GDPR, CCPA, HIPAA where relevant). Regulators generally favour connected propositions that demonstrably improve consumer outcomes, but they scrutinise pricing algorithms, data sources and consent flows, making transparent explainability and fairness testing essential to deployment at scale. </w:t>
      </w:r>
      <w:hyperlink r:id="rId9">
        <w:r>
          <w:rPr>
            <w:color w:val="0000EE"/>
            <w:u w:val="single"/>
          </w:rPr>
          <w:t>[1]</w:t>
        </w:r>
      </w:hyperlink>
      <w:r/>
    </w:p>
    <w:p>
      <w:r/>
      <w:r>
        <w:t xml:space="preserve">Parametric and embedded models are among the most transformative product innovations identified. Parametric triggers, rainfall thresholds, wind speeds, crop indices or grid outages, enable near‑instant payouts without conventional loss adjustment; embedded insurance places dynamic covers inside platforms (car‑sharing, smart‑home services, e‑commerce checkouts). The lead article and market reports agree these models reduce friction and claims costs while opening new distribution paths. </w:t>
      </w:r>
      <w:hyperlink r:id="rId9">
        <w:r>
          <w:rPr>
            <w:color w:val="0000EE"/>
            <w:u w:val="single"/>
          </w:rPr>
          <w:t>[1]</w:t>
        </w:r>
      </w:hyperlink>
      <w:hyperlink r:id="rId10">
        <w:r>
          <w:rPr>
            <w:color w:val="0000EE"/>
            <w:u w:val="single"/>
          </w:rPr>
          <w:t>[4]</w:t>
        </w:r>
      </w:hyperlink>
      <w:r/>
    </w:p>
    <w:p>
      <w:r/>
      <w:r>
        <w:t xml:space="preserve">Insurers seeking to capture value are advised to follow phased implementation: align use cases to corporate strategy, choose ecosystem partners, establish robust data and platform foundations, run controlled pilots and then industrialise successful programmes. The lead article outlines this five‑phase roadmap and highlights KPIs such as loss ratio, engagement and claims cycle time as learning metrics. </w:t>
      </w:r>
      <w:hyperlink r:id="rId9">
        <w:r>
          <w:rPr>
            <w:color w:val="0000EE"/>
            <w:u w:val="single"/>
          </w:rPr>
          <w:t>[1]</w:t>
        </w:r>
      </w:hyperlink>
      <w:r/>
    </w:p>
    <w:p>
      <w:r/>
      <w:r>
        <w:t xml:space="preserve">Economic signals suggest material growth for AI‑enabled claims and analytics. A sector report from a global loss‑adjuster notes the AI insurance claims processing market was valued at over USD 514 million in 2024 and, given current trajectories, could expand substantially by 2034, reinforcing that analytics and automation will be a core source of operational leverage for connected insurance. </w:t>
      </w:r>
      <w:hyperlink r:id="rId12">
        <w:r>
          <w:rPr>
            <w:color w:val="0000EE"/>
            <w:u w:val="single"/>
          </w:rPr>
          <w:t>[6]</w:t>
        </w:r>
      </w:hyperlink>
      <w:r/>
    </w:p>
    <w:p>
      <w:r/>
      <w:r>
        <w:t xml:space="preserve">The opportunity is clear but conditional: insurers that combine device‑grade security, rigorous privacy governance, modern data platforms and transparent customer value propositions can deliver fairer pricing, faster settlements and meaningful loss prevention. Yet carriers must also invest to modernise legacy systems, harden cyber defences and manage model bias or quality issues if the promise of connected insurance is to translate into sustainable benefits for policyholders and broader societal resilience. </w:t>
      </w:r>
      <w:hyperlink r:id="rId9">
        <w:r>
          <w:rPr>
            <w:color w:val="0000EE"/>
            <w:u w:val="single"/>
          </w:rPr>
          <w:t>[1]</w:t>
        </w:r>
      </w:hyperlink>
      <w:hyperlink r:id="rId13">
        <w:r>
          <w:rPr>
            <w:color w:val="0000EE"/>
            <w:u w:val="single"/>
          </w:rPr>
          <w:t>[3]</w:t>
        </w:r>
      </w:hyperlink>
      <w:hyperlink r:id="rId14">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(IoT Worlds) - Paragraph 1, Paragraph 2, Paragraph 3, Paragraph 5, Paragraph 8, Paragraph 9, Paragraph 11</w:t>
      </w:r>
      <w:r/>
    </w:p>
    <w:p>
      <w:pPr>
        <w:pStyle w:val="ListBullet"/>
        <w:spacing w:line="240" w:lineRule="auto"/>
        <w:ind w:left="720"/>
      </w:pPr>
      <w:r/>
      <w:hyperlink r:id="rId11">
        <w:r>
          <w:rPr>
            <w:color w:val="0000EE"/>
            <w:u w:val="single"/>
          </w:rPr>
          <w:t>[2]</w:t>
        </w:r>
      </w:hyperlink>
      <w:r>
        <w:t xml:space="preserve"> (Moldstud) - Paragraph 4</w:t>
      </w:r>
      <w:r/>
    </w:p>
    <w:p>
      <w:pPr>
        <w:pStyle w:val="ListBullet"/>
        <w:spacing w:line="240" w:lineRule="auto"/>
        <w:ind w:left="720"/>
      </w:pPr>
      <w:r/>
      <w:hyperlink r:id="rId13">
        <w:r>
          <w:rPr>
            <w:color w:val="0000EE"/>
            <w:u w:val="single"/>
          </w:rPr>
          <w:t>[3]</w:t>
        </w:r>
      </w:hyperlink>
      <w:r>
        <w:t xml:space="preserve"> (Mordor Intelligence) - Paragraph 6, Paragraph 11</w:t>
      </w:r>
      <w:r/>
    </w:p>
    <w:p>
      <w:pPr>
        <w:pStyle w:val="ListBullet"/>
        <w:spacing w:line="240" w:lineRule="auto"/>
        <w:ind w:left="720"/>
      </w:pPr>
      <w:r/>
      <w:hyperlink r:id="rId10">
        <w:r>
          <w:rPr>
            <w:color w:val="0000EE"/>
            <w:u w:val="single"/>
          </w:rPr>
          <w:t>[4]</w:t>
        </w:r>
      </w:hyperlink>
      <w:r>
        <w:t xml:space="preserve"> (IMARC Group) - Paragraph 4, Paragraph 9</w:t>
      </w:r>
      <w:r/>
    </w:p>
    <w:p>
      <w:pPr>
        <w:pStyle w:val="ListBullet"/>
        <w:spacing w:line="240" w:lineRule="auto"/>
        <w:ind w:left="720"/>
      </w:pPr>
      <w:r/>
      <w:hyperlink r:id="rId14">
        <w:r>
          <w:rPr>
            <w:color w:val="0000EE"/>
            <w:u w:val="single"/>
          </w:rPr>
          <w:t>[5]</w:t>
        </w:r>
      </w:hyperlink>
      <w:r>
        <w:t xml:space="preserve"> (PwC) - Paragraph 11</w:t>
      </w:r>
      <w:r/>
    </w:p>
    <w:p>
      <w:pPr>
        <w:pStyle w:val="ListBullet"/>
        <w:spacing w:line="240" w:lineRule="auto"/>
        <w:ind w:left="720"/>
      </w:pPr>
      <w:r/>
      <w:hyperlink r:id="rId12">
        <w:r>
          <w:rPr>
            <w:color w:val="0000EE"/>
            <w:u w:val="single"/>
          </w:rPr>
          <w:t>[6]</w:t>
        </w:r>
      </w:hyperlink>
      <w:r>
        <w:t xml:space="preserve"> (Sedgwick) - Paragraph 10</w:t>
      </w:r>
      <w:r/>
    </w:p>
    <w:p>
      <w:pPr>
        <w:pStyle w:val="ListBullet"/>
        <w:spacing w:line="240" w:lineRule="auto"/>
        <w:ind w:left="720"/>
      </w:pPr>
      <w:r/>
      <w:hyperlink r:id="rId15">
        <w:r>
          <w:rPr>
            <w:color w:val="0000EE"/>
            <w:u w:val="single"/>
          </w:rPr>
          <w:t>[7]</w:t>
        </w:r>
      </w:hyperlink>
      <w:r>
        <w:t xml:space="preserve"> (Insurtech Insights) -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https://iotworlds.com/connected-insurance-the-ultimate-guide-to-iot-powered-risk-pricing-and-claims/</w:t>
        </w:r>
      </w:hyperlink>
      <w:r>
        <w:t xml:space="preserve"> - Please view link - unable to able to access data</w:t>
      </w:r>
      <w:r/>
    </w:p>
    <w:p>
      <w:pPr>
        <w:pStyle w:val="ListNumber"/>
        <w:spacing w:line="240" w:lineRule="auto"/>
        <w:ind w:left="720"/>
      </w:pPr>
      <w:r/>
      <w:hyperlink r:id="rId11">
        <w:r>
          <w:rPr>
            <w:color w:val="0000EE"/>
            <w:u w:val="single"/>
          </w:rPr>
          <w:t>https://moldstud.com/articles/p-using-iot-devices-for-connected-insurance-solutions</w:t>
        </w:r>
      </w:hyperlink>
      <w:r>
        <w:t xml:space="preserve"> - This article discusses how integrating IoT devices into insurance solutions enhances data collection, streamlines processes, and improves customer engagement. It highlights that companies adopting smart technologies can reduce claims costs by up to 30% through proactive risk management. The use of sensors and monitoring systems enables insurers to create precise risk profiles tailored to individual clients, leading to higher customer retention rates. The piece also emphasizes the role of predictive analytics in underwriting, noting a 20% increase in underwriting speed for organizations utilizing such technologies.</w:t>
      </w:r>
      <w:r/>
    </w:p>
    <w:p>
      <w:pPr>
        <w:pStyle w:val="ListNumber"/>
        <w:spacing w:line="240" w:lineRule="auto"/>
        <w:ind w:left="720"/>
      </w:pPr>
      <w:r/>
      <w:hyperlink r:id="rId13">
        <w:r>
          <w:rPr>
            <w:color w:val="0000EE"/>
            <w:u w:val="single"/>
          </w:rPr>
          <w:t>https://www.mordorintelligence.com/industry-reports/iot-insurance-market</w:t>
        </w:r>
      </w:hyperlink>
      <w:r>
        <w:t xml:space="preserve"> - This market analysis report provides insights into the IoT insurance market, focusing on data privacy and cybersecurity exposures. It discusses the systemic risks associated with interconnected devices, citing a global IT outage in July 2024 that affected 8.5 million systems and resulted in economic losses of USD 10-15 billion. The report also highlights the challenges insurers face with legacy-core integration, noting that many still operate COBOL-based policy systems unable to process high-velocity IoT data streams, leading to significant modernization costs and capability gaps.</w:t>
      </w:r>
      <w:r/>
    </w:p>
    <w:p>
      <w:pPr>
        <w:pStyle w:val="ListNumber"/>
        <w:spacing w:line="240" w:lineRule="auto"/>
        <w:ind w:left="720"/>
      </w:pPr>
      <w:r/>
      <w:hyperlink r:id="rId10">
        <w:r>
          <w:rPr>
            <w:color w:val="0000EE"/>
            <w:u w:val="single"/>
          </w:rPr>
          <w:t>https://www.imarcgroup.com/iot-insurance-market</w:t>
        </w:r>
      </w:hyperlink>
      <w:r>
        <w:t xml:space="preserve"> - This report analyzes the IoT insurance market, emphasizing the dominance of solutions over services, with solutions accounting for approximately 67.5% of the market share in 2024. It attributes this to the growing adoption of connected technologies for risk assessment, underwriting, and claims management. The report also highlights the integration of AI-powered analytics and the rise of usage-based insurance (UBI) in auto and health sectors, which further supports the dominance of IoT solutions in the market.</w:t>
      </w:r>
      <w:r/>
    </w:p>
    <w:p>
      <w:pPr>
        <w:pStyle w:val="ListNumber"/>
        <w:spacing w:line="240" w:lineRule="auto"/>
        <w:ind w:left="720"/>
      </w:pPr>
      <w:r/>
      <w:hyperlink r:id="rId14">
        <w:r>
          <w:rPr>
            <w:color w:val="0000EE"/>
            <w:u w:val="single"/>
          </w:rPr>
          <w:t>https://www.pwc.com/it/it/publications/assets/docs/connected-insurance.pdf</w:t>
        </w:r>
      </w:hyperlink>
      <w:r>
        <w:t xml:space="preserve"> - This PwC report explores the transformation of the insurance industry through connected technologies. It outlines how insurers can leverage IoT to become data-driven companies by combining connected devices and insured risks to enhance customer knowledge. The report discusses the benefits of connected insurance, including customized pricing, fraud reduction through real-time monitoring, loss ratio improvement, and the enabling of new value-added services. It also highlights the reinforcement of risk-pricing and rating capabilities through the availability of real-time data applied to the insured entity.</w:t>
      </w:r>
      <w:r/>
    </w:p>
    <w:p>
      <w:pPr>
        <w:pStyle w:val="ListNumber"/>
        <w:spacing w:line="240" w:lineRule="auto"/>
        <w:ind w:left="720"/>
      </w:pPr>
      <w:r/>
      <w:hyperlink r:id="rId12">
        <w:r>
          <w:rPr>
            <w:color w:val="0000EE"/>
            <w:u w:val="single"/>
          </w:rPr>
          <w:t>https://www.sedgwick.com/wp-content/uploads/2025/08/Loss-adjusting-insights-report.pdf</w:t>
        </w:r>
      </w:hyperlink>
      <w:r>
        <w:t xml:space="preserve"> - This report from Sedgwick examines the impact of AI, machine learning, and other technologies on the insurance industry. It highlights the increasing use of AI in enhancing risk assessments, streamlining claims processing, and detecting fraud. The report notes that the global AI insurance claims processing market was valued at over $514 million in 2024 and is expected to climb to $2.7 billion by 2034. It also discusses how AI contributes to more accurate risk profiles, personalized policies, and fairer risk ratings by analyzing vast amounts of data from various sources.</w:t>
      </w:r>
      <w:r/>
    </w:p>
    <w:p>
      <w:pPr>
        <w:pStyle w:val="ListNumber"/>
        <w:spacing w:line="240" w:lineRule="auto"/>
        <w:ind w:left="720"/>
      </w:pPr>
      <w:r/>
      <w:hyperlink r:id="rId15">
        <w:r>
          <w:rPr>
            <w:color w:val="0000EE"/>
            <w:u w:val="single"/>
          </w:rPr>
          <w:t>https://www.insurtechinsights.com/ten-trends-transforming-insurtech-in-2024-and-beyond/</w:t>
        </w:r>
      </w:hyperlink>
      <w:r>
        <w:t xml:space="preserve"> - This article outlines ten trends transforming insurtech in 2024 and beyond, with a focus on the integration of IoT and telematics in insurance. It discusses how these technologies enable the development of usage-based insurance (UBI) models by providing real-time data on vehicle usage, driving behaviour, and environmental conditions. The piece highlights that telematics data allows insurers to offer more personalised and fairer premiums, assess risk more accurately, and provide precise accident data, thereby speeding up verification and reducing fraud in claims processing.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otworlds.com/connected-insurance-the-ultimate-guide-to-iot-powered-risk-pricing-and-claims/" TargetMode="External"/><Relationship Id="rId10" Type="http://schemas.openxmlformats.org/officeDocument/2006/relationships/hyperlink" Target="https://www.imarcgroup.com/iot-insurance-market" TargetMode="External"/><Relationship Id="rId11" Type="http://schemas.openxmlformats.org/officeDocument/2006/relationships/hyperlink" Target="https://moldstud.com/articles/p-using-iot-devices-for-connected-insurance-solutions" TargetMode="External"/><Relationship Id="rId12" Type="http://schemas.openxmlformats.org/officeDocument/2006/relationships/hyperlink" Target="https://www.sedgwick.com/wp-content/uploads/2025/08/Loss-adjusting-insights-report.pdf" TargetMode="External"/><Relationship Id="rId13" Type="http://schemas.openxmlformats.org/officeDocument/2006/relationships/hyperlink" Target="https://www.mordorintelligence.com/industry-reports/iot-insurance-market" TargetMode="External"/><Relationship Id="rId14" Type="http://schemas.openxmlformats.org/officeDocument/2006/relationships/hyperlink" Target="https://www.pwc.com/it/it/publications/assets/docs/connected-insurance.pdf" TargetMode="External"/><Relationship Id="rId15" Type="http://schemas.openxmlformats.org/officeDocument/2006/relationships/hyperlink" Target="https://www.insurtechinsights.com/ten-trends-transforming-insurtech-in-2024-and-beyon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