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Seel's new insurance partnerships enable scalable AI-driven post-purchase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Seel, a San Francisco‑based provider of post‑purchase services, has announced that it has struck new insurance and reinsurance arrangements with major market carriers, the company said in a statement. According to the announcement, the deals are designed to support Seel’s AI‑driven Worry‑Free Purchase® programme by supplying carrier capacity and specialist underwriting expertise while allowing Seel to concentrate investment on its technology. </w:t>
      </w:r>
      <w:hyperlink r:id="rId9">
        <w:r>
          <w:rPr>
            <w:color w:val="0000EE"/>
            <w:u w:val="single"/>
          </w:rPr>
          <w:t>[1]</w:t>
        </w:r>
      </w:hyperlink>
      <w:hyperlink r:id="rId10">
        <w:r>
          <w:rPr>
            <w:color w:val="0000EE"/>
            <w:u w:val="single"/>
          </w:rPr>
          <w:t>[2]</w:t>
        </w:r>
      </w:hyperlink>
      <w:r/>
    </w:p>
    <w:p>
      <w:r/>
      <w:r>
        <w:t xml:space="preserve">The firm said these partnerships , which it described as with Lloyd’s markets and global specialty carriers , are already being used to cede portions of risk previously retained in Seel’s own underwriting platform through co‑insurance and reinsurance agreements. The company framed the shift as a way to lower its cost of capital, broaden geographic reach and “sharpen its focus on AI‑enabled services”. </w:t>
      </w:r>
      <w:hyperlink r:id="rId9">
        <w:r>
          <w:rPr>
            <w:color w:val="0000EE"/>
            <w:u w:val="single"/>
          </w:rPr>
          <w:t>[1]</w:t>
        </w:r>
      </w:hyperlink>
      <w:hyperlink r:id="rId10">
        <w:r>
          <w:rPr>
            <w:color w:val="0000EE"/>
            <w:u w:val="single"/>
          </w:rPr>
          <w:t>[2]</w:t>
        </w:r>
      </w:hyperlink>
      <w:r/>
    </w:p>
    <w:p>
      <w:r/>
      <w:r>
        <w:t xml:space="preserve">Seel’s announcement emphasised that it began life as a vertically integrated operator, holding licences across underwriting, broking and administration, but has been progressively moving to a model that relies more heavily on partner capacity. The company said it continues to run an integrated infrastructure for underwriting, distribution and administration and invests materially in regulatory and legal compliance to tailor insurance‑backed post‑purchase products by jurisdiction. </w:t>
      </w:r>
      <w:hyperlink r:id="rId9">
        <w:r>
          <w:rPr>
            <w:color w:val="0000EE"/>
            <w:u w:val="single"/>
          </w:rPr>
          <w:t>[1]</w:t>
        </w:r>
      </w:hyperlink>
      <w:hyperlink r:id="rId10">
        <w:r>
          <w:rPr>
            <w:color w:val="0000EE"/>
            <w:u w:val="single"/>
          </w:rPr>
          <w:t>[2]</w:t>
        </w:r>
      </w:hyperlink>
      <w:r/>
    </w:p>
    <w:p>
      <w:r/>
      <w:r>
        <w:t xml:space="preserve">Industry context suggests the carrier partners bring capabilities that extend beyond balance‑sheet capacity. One of Seel’s named partners has recently participated in market initiatives to standardise data and API frameworks intended to accelerate digitisation across the London market, signalling an appetite among established insurers to support faster, tech‑enabled distribution models. That sort of market‑wide push to modernise processes could help platforms such as Seel integrate carrier services at scale. </w:t>
      </w:r>
      <w:hyperlink r:id="rId11">
        <w:r>
          <w:rPr>
            <w:color w:val="0000EE"/>
            <w:u w:val="single"/>
          </w:rPr>
          <w:t>[3]</w:t>
        </w:r>
      </w:hyperlink>
      <w:hyperlink r:id="rId12">
        <w:r>
          <w:rPr>
            <w:color w:val="0000EE"/>
            <w:u w:val="single"/>
          </w:rPr>
          <w:t>[4]</w:t>
        </w:r>
      </w:hyperlink>
      <w:r/>
    </w:p>
    <w:p>
      <w:r/>
      <w:r>
        <w:t xml:space="preserve">The involvement of global specialty platforms also reflects how established insurers operate across multiple regulatory and distribution channels. Platforms with Lloyd’s links and multinational operations can provide regulatory footprints and distribution access that newer programme operators often lack, while syndication and reinsurance can be used to manage capital and risk concentrations. Seel’s stated plan to make partner capacity the default for its programmes aligns with that broader industry approach. </w:t>
      </w:r>
      <w:hyperlink r:id="rId12">
        <w:r>
          <w:rPr>
            <w:color w:val="0000EE"/>
            <w:u w:val="single"/>
          </w:rPr>
          <w:t>[4]</w:t>
        </w:r>
      </w:hyperlink>
      <w:hyperlink r:id="rId13">
        <w:r>
          <w:rPr>
            <w:color w:val="0000EE"/>
            <w:u w:val="single"/>
          </w:rPr>
          <w:t>[5]</w:t>
        </w:r>
      </w:hyperlink>
      <w:hyperlink r:id="rId14">
        <w:r>
          <w:rPr>
            <w:color w:val="0000EE"/>
            <w:u w:val="single"/>
          </w:rPr>
          <w:t>[6]</w:t>
        </w:r>
      </w:hyperlink>
      <w:r/>
    </w:p>
    <w:p>
      <w:r/>
      <w:r>
        <w:t xml:space="preserve">Although Seel positions the move as a strategic refocus on AI and customer experience, the arrangements also shift underwriting exposure onto traditional carriers and reinsurers. That transfer is likely to be watched closely by merchants and regulators as Seel scales, since the balance between technology‑led service delivery and the financial responsibility for insured losses determines both consumer protections and capital requirements. The company said it has been ceding risk “progressively” since earlier this year. </w:t>
      </w:r>
      <w:hyperlink r:id="rId9">
        <w:r>
          <w:rPr>
            <w:color w:val="0000EE"/>
            <w:u w:val="single"/>
          </w:rPr>
          <w:t>[1]</w:t>
        </w:r>
      </w:hyperlink>
      <w:hyperlink r:id="rId10">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(Business Wire press release) - Paragraph 1, Paragraph 2, Paragraph 3, Paragraph 6 </w:t>
      </w:r>
      <w:r/>
    </w:p>
    <w:p>
      <w:pPr>
        <w:pStyle w:val="ListBullet"/>
        <w:spacing w:line="240" w:lineRule="auto"/>
        <w:ind w:left="720"/>
      </w:pPr>
      <w:r/>
      <w:hyperlink r:id="rId10">
        <w:r>
          <w:rPr>
            <w:color w:val="0000EE"/>
            <w:u w:val="single"/>
          </w:rPr>
          <w:t>[2]</w:t>
        </w:r>
      </w:hyperlink>
      <w:r>
        <w:t xml:space="preserve"> (Business Wire summary) - Paragraph 1, Paragraph 2, Paragraph 3, Paragraph 6 </w:t>
      </w:r>
      <w:r/>
    </w:p>
    <w:p>
      <w:pPr>
        <w:pStyle w:val="ListBullet"/>
        <w:spacing w:line="240" w:lineRule="auto"/>
        <w:ind w:left="720"/>
      </w:pPr>
      <w:r/>
      <w:hyperlink r:id="rId11">
        <w:r>
          <w:rPr>
            <w:color w:val="0000EE"/>
            <w:u w:val="single"/>
          </w:rPr>
          <w:t>[3]</w:t>
        </w:r>
      </w:hyperlink>
      <w:r>
        <w:t xml:space="preserve"> (Arch / Sequel6 initiative) - Paragraph 4 </w:t>
      </w:r>
      <w:r/>
    </w:p>
    <w:p>
      <w:pPr>
        <w:pStyle w:val="ListBullet"/>
        <w:spacing w:line="240" w:lineRule="auto"/>
        <w:ind w:left="720"/>
      </w:pPr>
      <w:r/>
      <w:hyperlink r:id="rId12">
        <w:r>
          <w:rPr>
            <w:color w:val="0000EE"/>
            <w:u w:val="single"/>
          </w:rPr>
          <w:t>[4]</w:t>
        </w:r>
      </w:hyperlink>
      <w:r>
        <w:t xml:space="preserve"> (Arch corporate overview) - Paragraph 4, Paragraph 5 </w:t>
      </w:r>
      <w:r/>
    </w:p>
    <w:p>
      <w:pPr>
        <w:pStyle w:val="ListBullet"/>
        <w:spacing w:line="240" w:lineRule="auto"/>
        <w:ind w:left="720"/>
      </w:pPr>
      <w:r/>
      <w:hyperlink r:id="rId13">
        <w:r>
          <w:rPr>
            <w:color w:val="0000EE"/>
            <w:u w:val="single"/>
          </w:rPr>
          <w:t>[5]</w:t>
        </w:r>
      </w:hyperlink>
      <w:r>
        <w:t xml:space="preserve"> (Arch 2024 annual report) - Paragraph 5 </w:t>
      </w:r>
      <w:r/>
    </w:p>
    <w:p>
      <w:pPr>
        <w:pStyle w:val="ListBullet"/>
        <w:spacing w:line="240" w:lineRule="auto"/>
        <w:ind w:left="720"/>
      </w:pPr>
      <w:r/>
      <w:hyperlink r:id="rId14">
        <w:r>
          <w:rPr>
            <w:color w:val="0000EE"/>
            <w:u w:val="single"/>
          </w:rPr>
          <w:t>[6]</w:t>
        </w:r>
      </w:hyperlink>
      <w:r>
        <w:t xml:space="preserve"> (Arch SEC filing)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https://www.businesswire.com/news/home/20251203468070/en/Seel-Partners-With-Leading-Insurance-Partners-To-Scale-Its-Post-Purchase-Service?feedref=JjAwJuNHiystnCoBq_hl-bV7DTIYheT0D-1vT4_bKFzt_EW40VMdK6eG-WLfRGUE1fJraLPL1g6AeUGJlCTYs7Oafol48Kkc8KJgZoTHgMu0w8LYSbRdYOj2VdwnuKwa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https://www.businesswire.com/news/home/20251203468070/en/Seel-Partners-With-Leading-Insurance-Partners-To-Scale-Its-Post-Purchase-Service</w:t>
        </w:r>
      </w:hyperlink>
      <w:r>
        <w:t xml:space="preserve"> - Seel, a leading agentic post-purchase platform, has announced new insurance and reinsurance partnerships with Lloyd’s of London and Arch Insurance. Seel's AI-powered Worry-Free Purchase® program enhances merchants' operations by providing shoppers with a premium, consistent post-checkout experience, while helping merchants reduce operating costs and drive incremental revenue. Headquartered in San Francisco, Seel operates six offices across North America, Europe, and Asia. Initially a full-stack program operator, Seel has evolved to partner with established insurance and reinsurance providers to lower capital costs, expand geographically, and focus on AI-enabled services. By collaborating with Lloyd’s and Arch, Seel combines its technology-driven service model with the capital efficiency and expertise of leading global carriers. Seel's integrated insurance infrastructure spans underwriting, distribution, and administration, supported by a compliance organization of veteran carrier executives, former regulators, and partners from top-tier law firms. The company invests millions annually in regulatory and legal compliance to offer insurance-backed post-purchase services tailored to each jurisdiction's requirements. Since these partnerships began earlier this year, Seel has been progressively transferring risk from its in-house underwriting capacity to its partners through co-insurance and reinsurance agreements. Over time, Seel plans to make partner capacity the default for its programs, shifting the majority of risk to its carrier partners while focusing its investment on AI capabilities that drive superior underwriting performance and a differentiated end-customer experience.</w:t>
      </w:r>
      <w:r/>
    </w:p>
    <w:p>
      <w:pPr>
        <w:pStyle w:val="ListNumber"/>
        <w:spacing w:line="240" w:lineRule="auto"/>
        <w:ind w:left="720"/>
      </w:pPr>
      <w:r/>
      <w:hyperlink r:id="rId11">
        <w:r>
          <w:rPr>
            <w:color w:val="0000EE"/>
            <w:u w:val="single"/>
          </w:rPr>
          <w:t>https://insurance.archgroup.com/arch-joins-seguel6-initiative-to-facilitate-market-digitisation/</w:t>
        </w:r>
      </w:hyperlink>
      <w:r>
        <w:t xml:space="preserve"> - Arch Insurance International has joined Verisk’s 'Sequel6' initiative to facilitate market digitisation. The company is committed to playing a proactive role in the ongoing digitisation of the insurance market and supports initiatives that accelerate this critical transition. Developments such as the Blueprint Two initiative at Lloyd’s are vital to creating a digital framework that makes it faster, more efficient, and cost-effective for both practitioners and clients to conduct business. Key to any market transformation is the need for market-wide standardised processes that make the shift to a new operating environment as seamless and 'glitch-free' as possible. The Sequel6 group, which spans several peers in the London Market, is focused on creating data and application programming interface (API) standards for the market.</w:t>
      </w:r>
      <w:r/>
    </w:p>
    <w:p>
      <w:pPr>
        <w:pStyle w:val="ListNumber"/>
        <w:spacing w:line="240" w:lineRule="auto"/>
        <w:ind w:left="720"/>
      </w:pPr>
      <w:r/>
      <w:hyperlink r:id="rId12">
        <w:r>
          <w:rPr>
            <w:color w:val="0000EE"/>
            <w:u w:val="single"/>
          </w:rPr>
          <w:t>https://insurance.archgroup.com/</w:t>
        </w:r>
      </w:hyperlink>
      <w:r>
        <w:t xml:space="preserve"> - Arch Insurance provides specialty risk solutions to clients worldwide across a wide range of industries. The company works closely with brokers, insureds, and other partners to explore opportunities, strive for better ways of doing things, and deliver more informed solutions. Arch Insurance North America includes operations in the United States and Canada, while Arch Insurance International includes operations in Europe, Bermuda, and Australia. In the UK, business is written by Arch Insurance (UK) Limited or Arch Managing Agency Limited on behalf of Lloyd’s syndicate 2012, and in the EU/EEA by Arch Insurance (EU) dac or via the Lloyd’s Brussels platform.</w:t>
      </w:r>
      <w:r/>
    </w:p>
    <w:p>
      <w:pPr>
        <w:pStyle w:val="ListNumber"/>
        <w:spacing w:line="240" w:lineRule="auto"/>
        <w:ind w:left="720"/>
      </w:pPr>
      <w:r/>
      <w:hyperlink r:id="rId13">
        <w:r>
          <w:rPr>
            <w:color w:val="0000EE"/>
            <w:u w:val="single"/>
          </w:rPr>
          <w:t>https://s25.q4cdn.com/260250619/files/doc_financials/2024/ar/B/2024-10-K-2-27-25.pdf</w:t>
        </w:r>
      </w:hyperlink>
      <w:r>
        <w:t xml:space="preserve"> - Arch Capital Group Ltd. conducts insurance operations on several platforms in the UK, including Arch Insurance (UK) and its Lloyd’s syndicates: Arch Syndicate 2012 and Arch Syndicate 1955. Arch Managing Agency Limited (AMAL) is the managing agent of these Lloyd’s Syndicates. These operations provide access to Lloyd’s extensive distribution network and worldwide licenses. AMAL also acts as managing agent for third-party members of Arch Syndicate 1955. Arch Underwriting at Lloyd’s (Australia) Pty Ltd, based in Sydney, Australia, is a Lloyd’s services company that underwrites exclusively for Arch’s Lloyd’s Syndicates. Collectively, the UK insurance operations are referred to as 'Arch UK,' conducting operations from London and other locations in the UK.</w:t>
      </w:r>
      <w:r/>
    </w:p>
    <w:p>
      <w:pPr>
        <w:pStyle w:val="ListNumber"/>
        <w:spacing w:line="240" w:lineRule="auto"/>
        <w:ind w:left="720"/>
      </w:pPr>
      <w:r/>
      <w:hyperlink r:id="rId14">
        <w:r>
          <w:rPr>
            <w:color w:val="0000EE"/>
            <w:u w:val="single"/>
          </w:rPr>
          <w:t>https://www.sec.gov/Archives/edgar/data/947484/000094748425000017/acgl-20241231.htm</w:t>
        </w:r>
      </w:hyperlink>
      <w:r>
        <w:t xml:space="preserve"> - Arch Capital Group Ltd. conducts insurance operations on several platforms in the UK, including Arch Insurance (UK) and its Lloyd’s syndicates: Arch Syndicate 2012 and Arch Syndicate 1955. Arch Managing Agency Limited (AMAL) is the managing agent of these Lloyd’s Syndicates. These operations provide access to Lloyd’s extensive distribution network and worldwide licenses. AMAL also acts as managing agent for third-party members of Arch Syndicate 1955. Arch Underwriting at Lloyd’s (Australia) Pty Ltd, based in Sydney, Australia, is a Lloyd’s services company that underwrites exclusively for Arch’s Lloyd’s Syndicates. Collectively, the UK insurance operations are referred to as 'Arch UK,' conducting operations from London and other locations in the UK.</w:t>
      </w:r>
      <w:r/>
    </w:p>
    <w:p>
      <w:pPr>
        <w:pStyle w:val="ListNumber"/>
        <w:spacing w:line="240" w:lineRule="auto"/>
        <w:ind w:left="720"/>
      </w:pPr>
      <w:r/>
      <w:hyperlink r:id="rId16">
        <w:r>
          <w:rPr>
            <w:color w:val="0000EE"/>
            <w:u w:val="single"/>
          </w:rPr>
          <w:t>https://www.streetinsider.com/Business%2BWire/Seel%2BPartners%2BWith%2BLeading%2BInsurance%2BPartners%2BTo%2BScale%2BIts%2BPost-Purchase%2BService/25693935.html</w:t>
        </w:r>
      </w:hyperlink>
      <w:r>
        <w:t xml:space="preserve"> - Seel, a leading agentic post-purchase platform, has announced new insurance and reinsurance partnerships with Lloyd’s of London and Arch Insurance. Seel's AI-powered Worry-Free Purchase® program enhances merchants' operations by providing shoppers with a premium, consistent post-checkout experience, while helping merchants reduce operating costs and drive incremental revenue. Headquartered in San Francisco, Seel operates six offices across North America, Europe, and Asia. Initially a full-stack program operator, Seel has evolved to partner with established insurance and reinsurance providers to lower capital costs, expand geographically, and focus on AI-enabled services. By collaborating with Lloyd’s and Arch, Seel combines its technology-driven service model with the capital efficiency and expertise of leading global carriers. Seel's integrated insurance infrastructure spans underwriting, distribution, and administration, supported by a compliance organization of veteran carrier executives, former regulators, and partners from top-tier law firms. The company invests millions annually in regulatory and legal compliance to offer insurance-backed post-purchase services tailored to each jurisdiction's requirements. Since these partnerships began earlier this year, Seel has been progressively transferring risk from its in-house underwriting capacity to its partners through co-insurance and reinsurance agreements. Over time, Seel plans to make partner capacity the default for its programs, shifting the majority of risk to its carrier partners while focusing its investment on AI capabilities that drive superior underwriting performance and a differentiated end-customer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1203468070/en/Seel-Partners-With-Leading-Insurance-Partners-To-Scale-Its-Post-Purchase-Service?feedref=JjAwJuNHiystnCoBq_hl-bV7DTIYheT0D-1vT4_bKFzt_EW40VMdK6eG-WLfRGUE1fJraLPL1g6AeUGJlCTYs7Oafol48Kkc8KJgZoTHgMu0w8LYSbRdYOj2VdwnuKwa" TargetMode="External"/><Relationship Id="rId10" Type="http://schemas.openxmlformats.org/officeDocument/2006/relationships/hyperlink" Target="https://www.businesswire.com/news/home/20251203468070/en/Seel-Partners-With-Leading-Insurance-Partners-To-Scale-Its-Post-Purchase-Service" TargetMode="External"/><Relationship Id="rId11" Type="http://schemas.openxmlformats.org/officeDocument/2006/relationships/hyperlink" Target="https://insurance.archgroup.com/arch-joins-seguel6-initiative-to-facilitate-market-digitisation/" TargetMode="External"/><Relationship Id="rId12" Type="http://schemas.openxmlformats.org/officeDocument/2006/relationships/hyperlink" Target="https://insurance.archgroup.com/" TargetMode="External"/><Relationship Id="rId13" Type="http://schemas.openxmlformats.org/officeDocument/2006/relationships/hyperlink" Target="https://s25.q4cdn.com/260250619/files/doc_financials/2024/ar/B/2024-10-K-2-27-25.pdf" TargetMode="External"/><Relationship Id="rId14" Type="http://schemas.openxmlformats.org/officeDocument/2006/relationships/hyperlink" Target="https://www.sec.gov/Archives/edgar/data/947484/000094748425000017/acgl-20241231.htm" TargetMode="External"/><Relationship Id="rId15" Type="http://schemas.openxmlformats.org/officeDocument/2006/relationships/hyperlink" Target="https://www.noahwire.com" TargetMode="External"/><Relationship Id="rId16" Type="http://schemas.openxmlformats.org/officeDocument/2006/relationships/hyperlink" Target="https://www.streetinsider.com/Business%2BWire/Seel%2BPartners%2BWith%2BLeading%2BInsurance%2BPartners%2BTo%2BScale%2BIts%2BPost-Purchase%2BService/2569393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