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Tokenisation of fund interests accelerates practical adoption in private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Tokenization of fund interests has moved decisively from proof‑of‑concept to practical infrastructure for private markets, offering venture capital, private equity, private credit and digital‑asset managers a way to cut administrative drag, widen distribution and introduce controlled liquidity without changing legal economics. According to the original report, tokenized units , whether representing LP shares, feeder‑fund units, SPV interests or profit‑participation claims , are digital embodiments of conventional contractual rights backed by subscription agreements, LPAs and on‑chain registries rather than by conversion of the underlying portfolio assets. </w:t>
      </w:r>
      <w:hyperlink r:id="rId9">
        <w:r>
          <w:rPr>
            <w:color w:val="0000EE"/>
            <w:u w:val="single"/>
          </w:rPr>
          <w:t>[1]</w:t>
        </w:r>
      </w:hyperlink>
      <w:r/>
    </w:p>
    <w:p>
      <w:r/>
      <w:r>
        <w:t xml:space="preserve">Operational gains are the immediate selling point. Industry data shows smart contracts can automate cap‑table management, whitelisting, subscription and distribution logic, and provide immutable audit trails that materially reduce reconciliation and registrar costs. The lead report estimates fund administration cost reductions of 50–70% where processes are re‑engineered around tokenised registries and automated waterfalls, while allowing payments and coupon flows to be executed in stablecoins or fiat rails as required. </w:t>
      </w:r>
      <w:hyperlink r:id="rId9">
        <w:r>
          <w:rPr>
            <w:color w:val="0000EE"/>
            <w:u w:val="single"/>
          </w:rPr>
          <w:t>[1]</w:t>
        </w:r>
      </w:hyperlink>
      <w:hyperlink r:id="rId10">
        <w:r>
          <w:rPr>
            <w:color w:val="0000EE"/>
            <w:u w:val="single"/>
          </w:rPr>
          <w:t>[2]</w:t>
        </w:r>
      </w:hyperlink>
      <w:r/>
    </w:p>
    <w:p>
      <w:r/>
      <w:r>
        <w:t xml:space="preserve">Tokenization also reshapes investor access. Fractionalised digital shares lower minimums, enabling feeder vehicles and tokenised share classes to accept much smaller tickets from professional investors worldwide without proportional increases in administrative burden. Providers project tokenised funds could capture a meaningful share of private markets: some industry estimates referenced in the trade press anticipate tokenised vehicles could reach up to 1% of global AUM by 2030 and generate significant turnover from activities such as collateralisation and secondary trading. </w:t>
      </w:r>
      <w:hyperlink r:id="rId10">
        <w:r>
          <w:rPr>
            <w:color w:val="0000EE"/>
            <w:u w:val="single"/>
          </w:rPr>
          <w:t>[2]</w:t>
        </w:r>
      </w:hyperlink>
      <w:hyperlink r:id="rId9">
        <w:r>
          <w:rPr>
            <w:color w:val="0000EE"/>
            <w:u w:val="single"/>
          </w:rPr>
          <w:t>[1]</w:t>
        </w:r>
      </w:hyperlink>
      <w:r/>
    </w:p>
    <w:p>
      <w:r/>
      <w:r>
        <w:t xml:space="preserve">Not all strategies benefit equally: private credit and fixed‑income structures are fast becoming flagship use cases because programmable payments and transparent interest ledgers map neatly to coupon schedules and amortisations. Venture and private equity also benefit from automated distributions, vesting and controlled OTC liquidity, while tokenised feeders and on‑chain wrappers allow traditional managers to bridge into digital markets without changing fund governance. The lead article cites examples across strategies , from tokenised feeder funds to real‑estate SPVs and money‑market tokens , as evidence of these diverse use cases. </w:t>
      </w:r>
      <w:hyperlink r:id="rId9">
        <w:r>
          <w:rPr>
            <w:color w:val="0000EE"/>
            <w:u w:val="single"/>
          </w:rPr>
          <w:t>[1]</w:t>
        </w:r>
      </w:hyperlink>
      <w:r/>
    </w:p>
    <w:p>
      <w:r/>
      <w:r>
        <w:t xml:space="preserve">A practical architecture has emerged: an off‑chain legal vehicle (RAIF, QIAIF, Cayman/SPV or a Delaware feeder) issues tokens that are the digital expression of existing rights; legal documentation remains conventional; and a smart‑contract layer enforces minting, whitelisting, transfer restrictions and distributions. Custody, KYC/AML and regulatory structuring remain with specialist partners; technology vendors provide the compliance‑aware token engine. The lead report positions Bitbond’s TokenTool as an example of a custody‑agnostic, no‑code token issuance and lifecycle platform that supports major chains and enforces professional‑investor transfer rules. </w:t>
      </w:r>
      <w:hyperlink r:id="rId9">
        <w:r>
          <w:rPr>
            <w:color w:val="0000EE"/>
            <w:u w:val="single"/>
          </w:rPr>
          <w:t>[1]</w:t>
        </w:r>
      </w:hyperlink>
      <w:r/>
    </w:p>
    <w:p>
      <w:r/>
      <w:r>
        <w:t xml:space="preserve">Regulation is both enabler and constraint. In Europe the Markets in Crypto‑Assets regime has clarified classification: tokens with restricted transfers to verified professional investors generally fall outside the scope of MiFID and into MiCA’s “other crypto‑assets” bucket, simplifying disclosure obligations and enabling professional‑only launches without a full MiCA whitepaper. National fund frameworks in tokenisation‑friendly jurisdictions such as Luxembourg and the Netherlands further support cross‑border distribution when combined with appropriate vehicle choice. However, regulatory fragmentation and supervisory scrutiny remain salient risks. </w:t>
      </w:r>
      <w:hyperlink r:id="rId9">
        <w:r>
          <w:rPr>
            <w:color w:val="0000EE"/>
            <w:u w:val="single"/>
          </w:rPr>
          <w:t>[1]</w:t>
        </w:r>
      </w:hyperlink>
      <w:hyperlink r:id="rId11">
        <w:r>
          <w:rPr>
            <w:color w:val="0000EE"/>
            <w:u w:val="single"/>
          </w:rPr>
          <w:t>[3]</w:t>
        </w:r>
      </w:hyperlink>
      <w:r/>
    </w:p>
    <w:p>
      <w:r/>
      <w:r>
        <w:t xml:space="preserve">That scrutiny has intensified. The European Securities and Markets Authority has warned crypto‑asset service providers against marketing regulated status in ways that confuse customers, and has criticised inconsistent licensing and oversight in some member states , notably flagging concerns about Malta’s authorisations under MiCA. National pushback over passporting has also surfaced, with France signalling it may block licence passporting and seeking stronger central oversight. These developments underline that tokenisation’s promise depends on robust, harmonised supervision and clear, non‑misleading disclosure. </w:t>
      </w:r>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Market adoption by mainstream institutions reinforces the trend while also changing expectations about operational integration. Recent industry roll‑outs of tokenised money‑market and short‑term fund tokens , developed by high‑profile banks and custodians in collaboration with asset managers , demonstrate that token models can be integrated with existing custody, settlement and collateral workflows to shorten settlement times and enhance collateral utility. The Reuters coverage of bank‑led initiatives shows traditional players view tokens as a means to improve efficiency rather than to disintermediate incumbents. </w:t>
      </w:r>
      <w:hyperlink r:id="rId15">
        <w:r>
          <w:rPr>
            <w:color w:val="0000EE"/>
            <w:u w:val="single"/>
          </w:rPr>
          <w:t>[4]</w:t>
        </w:r>
      </w:hyperlink>
      <w:r/>
    </w:p>
    <w:p>
      <w:r/>
      <w:r>
        <w:t xml:space="preserve">Despite regulatory and operational caveats, the balance of forces points to 2026 as an inflection year for mainstreaming tokenised fund structures: faster onboarding, lower ticket sizes, programmable distributions and compliant secondary liquidity address longstanding frictions in private markets. According to the lead report and corroborating analysis, managers that pair conservative legal structuring with compliance‑first token architectures can access global professional capital while preserving investor protections and established governance. </w:t>
      </w:r>
      <w:hyperlink r:id="rId9">
        <w:r>
          <w:rPr>
            <w:color w:val="0000EE"/>
            <w:u w:val="single"/>
          </w:rPr>
          <w:t>[1]</w:t>
        </w:r>
      </w:hyperlink>
      <w:hyperlink r:id="rId10">
        <w:r>
          <w:rPr>
            <w:color w:val="0000EE"/>
            <w:u w:val="single"/>
          </w:rPr>
          <w:t>[2]</w:t>
        </w:r>
      </w:hyperlink>
      <w:r/>
    </w:p>
    <w:p>
      <w:r/>
      <w:r>
        <w:t xml:space="preserve">For sponsors and service providers, the practical takeaway is clear: tokenisation is not a redefinition of fund economics but a technical enhancement of fund plumbing. Where legal counsel, custodians and KYC providers remain front and centre, token engines provide a programmable layer that improves accuracy, speed and optional liquidity , but only where regulatory and supervisory uncertainties are actively managed. The company said in a statement that its TokenTool is designed to sit precisely in that gap: the technical backbone for compliant issuance, lifecycle management and restricted OTC transfers without requiring specialist blockchain engineering from fund teams.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(Bitbond , "Fund Tokenization in 2026: The Complete Guide for Modern Funds") - Paragraph 1, Paragraph 2, Paragraph 4, Paragraph 5, Paragraph 6, Paragraph 9, Paragraph 10</w:t>
      </w:r>
      <w:r/>
    </w:p>
    <w:p>
      <w:pPr>
        <w:pStyle w:val="ListBullet"/>
        <w:spacing w:line="240" w:lineRule="auto"/>
        <w:ind w:left="720"/>
      </w:pPr>
      <w:r/>
      <w:hyperlink r:id="rId10">
        <w:r>
          <w:rPr>
            <w:color w:val="0000EE"/>
            <w:u w:val="single"/>
          </w:rPr>
          <w:t>[2]</w:t>
        </w:r>
      </w:hyperlink>
      <w:r>
        <w:t xml:space="preserve"> (Forbes , "Fund tokenization: How close to the next financial revolution?") - Paragraph 2, Paragraph 3, Paragraph 9</w:t>
      </w:r>
      <w:r/>
    </w:p>
    <w:p>
      <w:pPr>
        <w:pStyle w:val="ListBullet"/>
        <w:spacing w:line="240" w:lineRule="auto"/>
        <w:ind w:left="720"/>
      </w:pPr>
      <w:r/>
      <w:hyperlink r:id="rId11">
        <w:r>
          <w:rPr>
            <w:color w:val="0000EE"/>
            <w:u w:val="single"/>
          </w:rPr>
          <w:t>[3]</w:t>
        </w:r>
      </w:hyperlink>
      <w:r>
        <w:t xml:space="preserve"> (Antier Solutions , "Global regulatory frameworks for tokenized assets in 2026") - Paragraph 6</w:t>
      </w:r>
      <w:r/>
    </w:p>
    <w:p>
      <w:pPr>
        <w:pStyle w:val="ListBullet"/>
        <w:spacing w:line="240" w:lineRule="auto"/>
        <w:ind w:left="720"/>
      </w:pPr>
      <w:r/>
      <w:hyperlink r:id="rId15">
        <w:r>
          <w:rPr>
            <w:color w:val="0000EE"/>
            <w:u w:val="single"/>
          </w:rPr>
          <w:t>[4]</w:t>
        </w:r>
      </w:hyperlink>
      <w:r>
        <w:t xml:space="preserve"> (Reuters , "Goldman, BNY team up to launch tokens tied to money‑market funds") - Paragraph 8</w:t>
      </w:r>
      <w:r/>
    </w:p>
    <w:p>
      <w:pPr>
        <w:pStyle w:val="ListBullet"/>
        <w:spacing w:line="240" w:lineRule="auto"/>
        <w:ind w:left="720"/>
      </w:pPr>
      <w:r/>
      <w:hyperlink r:id="rId12">
        <w:r>
          <w:rPr>
            <w:color w:val="0000EE"/>
            <w:u w:val="single"/>
          </w:rPr>
          <w:t>[5]</w:t>
        </w:r>
      </w:hyperlink>
      <w:r>
        <w:t xml:space="preserve"> (Reuters , "ESMA warns about crypto firms misleading customers") - Paragraph 7</w:t>
      </w:r>
      <w:r/>
    </w:p>
    <w:p>
      <w:pPr>
        <w:pStyle w:val="ListBullet"/>
        <w:spacing w:line="240" w:lineRule="auto"/>
        <w:ind w:left="720"/>
      </w:pPr>
      <w:r/>
      <w:hyperlink r:id="rId13">
        <w:r>
          <w:rPr>
            <w:color w:val="0000EE"/>
            <w:u w:val="single"/>
          </w:rPr>
          <w:t>[6]</w:t>
        </w:r>
      </w:hyperlink>
      <w:r>
        <w:t xml:space="preserve"> (Reuters , "EU regulator criticises Malta's crypto licensing process") - Paragraph 7</w:t>
      </w:r>
      <w:r/>
    </w:p>
    <w:p>
      <w:pPr>
        <w:pStyle w:val="ListBullet"/>
        <w:spacing w:line="240" w:lineRule="auto"/>
        <w:ind w:left="720"/>
      </w:pPr>
      <w:r/>
      <w:hyperlink r:id="rId14">
        <w:r>
          <w:rPr>
            <w:color w:val="0000EE"/>
            <w:u w:val="single"/>
          </w:rPr>
          <w:t>[7]</w:t>
        </w:r>
      </w:hyperlink>
      <w:r>
        <w:t xml:space="preserve"> (Reuters , "France threatens to block crypto licence passporting")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https://www.bitbond.com/resources/fund-tokenization-in-2026-the-complete-guide-for-modern-funds/</w:t>
        </w:r>
      </w:hyperlink>
      <w:r>
        <w:t xml:space="preserve"> - Please view link - unable to able to access data</w:t>
      </w:r>
      <w:r/>
    </w:p>
    <w:p>
      <w:pPr>
        <w:pStyle w:val="ListNumber"/>
        <w:spacing w:line="240" w:lineRule="auto"/>
        <w:ind w:left="720"/>
      </w:pPr>
      <w:r/>
      <w:hyperlink r:id="rId10">
        <w:r>
          <w:rPr>
            <w:color w:val="0000EE"/>
            <w:u w:val="single"/>
          </w:rPr>
          <w:t>https://www.forbes.com/sites/digital-assets/2024/11/03/fund-tokenization-how-close-to-the-next-financial-revolution/</w:t>
        </w:r>
      </w:hyperlink>
      <w:r>
        <w:t xml:space="preserve"> - This article discusses the rapid evolution of fund tokenization, highlighting its transition from an experimental concept to a practical upgrade in private markets. It emphasizes the benefits of tokenized funds, including enhanced liquidity, cost efficiency through automation, fractional ownership, instant collateralization, access to yield-generating opportunities, and scalability. The piece also notes that industry estimates suggest tokenized funds could account for up to 1% of global assets under management by 2030, with tokenized fund turnover potentially generating up to $400 billion in annual returns from activities like collateralization and trading on price fluctuations.</w:t>
      </w:r>
      <w:r/>
    </w:p>
    <w:p>
      <w:pPr>
        <w:pStyle w:val="ListNumber"/>
        <w:spacing w:line="240" w:lineRule="auto"/>
        <w:ind w:left="720"/>
      </w:pPr>
      <w:r/>
      <w:hyperlink r:id="rId11">
        <w:r>
          <w:rPr>
            <w:color w:val="0000EE"/>
            <w:u w:val="single"/>
          </w:rPr>
          <w:t>https://www.antiersolutions.com/blogs/global-regulatory-frameworks-for-tokenized-assets-in-2026/</w:t>
        </w:r>
      </w:hyperlink>
      <w:r>
        <w:t xml:space="preserve"> - This blog post provides an overview of the regulatory frameworks for tokenized assets in various European countries, focusing on Luxembourg and the Netherlands. It details Luxembourg's supervision by the CSSF, the presence of tokenization-friendly fund vehicles like RAIF, SIF, and SICAR, and the alignment of MiCA with national fund laws for cross-border distribution. The article also discusses the Netherlands' enforcement of the MiCA CASP regime by the AFM, custody supervision by the DNB, and the requirement for ESG reporting under the EU Green Taxonomy.</w:t>
      </w:r>
      <w:r/>
    </w:p>
    <w:p>
      <w:pPr>
        <w:pStyle w:val="ListNumber"/>
        <w:spacing w:line="240" w:lineRule="auto"/>
        <w:ind w:left="720"/>
      </w:pPr>
      <w:r/>
      <w:hyperlink r:id="rId15">
        <w:r>
          <w:rPr>
            <w:color w:val="0000EE"/>
            <w:u w:val="single"/>
          </w:rPr>
          <w:t>https://www.reuters.com/markets/wealth/goldman-bny-team-up-launch-tokens-tied-money-market-funds-2025-07-23/</w:t>
        </w:r>
      </w:hyperlink>
      <w:r>
        <w:t xml:space="preserve"> - This Reuters article reports on the partnership between Goldman Sachs and BNY Mellon to launch digital tokens representing shares in money market funds. The initiative aims to modernize financial infrastructure by integrating blockchain technology with traditional financial systems, improving efficiency, easing the use of these assets as collateral, and shortening settlement times. The initial rollout includes participation from major asset managers such as BlackRock, Fidelity, Federated Hermes, and Goldman Sachs Asset Management.</w:t>
      </w:r>
      <w:r/>
    </w:p>
    <w:p>
      <w:pPr>
        <w:pStyle w:val="ListNumber"/>
        <w:spacing w:line="240" w:lineRule="auto"/>
        <w:ind w:left="720"/>
      </w:pPr>
      <w:r/>
      <w:hyperlink r:id="rId12">
        <w:r>
          <w:rPr>
            <w:color w:val="0000EE"/>
            <w:u w:val="single"/>
          </w:rPr>
          <w:t>https://www.reuters.com/sustainability/boards-policy-regulation/european-securities-regulator-warns-about-crypto-firms-misleading-customers-2025-07-11/</w:t>
        </w:r>
      </w:hyperlink>
      <w:r>
        <w:t xml:space="preserve"> - This Reuters article reports on the European Securities and Markets Authority (ESMA) issuing a warning to crypto asset service providers in the European Union. ESMA cautioned firms against misleading customers about the regulatory status of their products, expressing concern that some companies use their regulated status under the EU’s Markets in Crypto-Assets (MiCA) regulation to market both regulated and unregulated products, creating confusion and increasing risks for investors.</w:t>
      </w:r>
      <w:r/>
    </w:p>
    <w:p>
      <w:pPr>
        <w:pStyle w:val="ListNumber"/>
        <w:spacing w:line="240" w:lineRule="auto"/>
        <w:ind w:left="720"/>
      </w:pPr>
      <w:r/>
      <w:hyperlink r:id="rId13">
        <w:r>
          <w:rPr>
            <w:color w:val="0000EE"/>
            <w:u w:val="single"/>
          </w:rPr>
          <w:t>https://www.reuters.com/legal/government/eu-regulator-criticises-maltas-crypto-licensing-process-2025-07-10/</w:t>
        </w:r>
      </w:hyperlink>
      <w:r>
        <w:t xml:space="preserve"> - This Reuters article reports on the European Securities and Markets Authority (ESMA) criticizing Malta’s process for granting crypto licenses under the EU's new Markets in Crypto-Assets (MiCA) regulation. ESMA's review found that Malta's Financial Services Authority (MFSA) did not comprehensively assess the risk before issuing a license to a specific crypto company, raising concerns about inconsistent regulatory practices across EU states.</w:t>
      </w:r>
      <w:r/>
    </w:p>
    <w:p>
      <w:pPr>
        <w:pStyle w:val="ListNumber"/>
        <w:spacing w:line="240" w:lineRule="auto"/>
        <w:ind w:left="720"/>
      </w:pPr>
      <w:r/>
      <w:hyperlink r:id="rId14">
        <w:r>
          <w:rPr>
            <w:color w:val="0000EE"/>
            <w:u w:val="single"/>
          </w:rPr>
          <w:t>https://www.reuters.com/sustainability/boards-policy-regulation/france-threatens-block-crypto-licence-passporting-eu-regulatory-fight-2025-09-15/</w:t>
        </w:r>
      </w:hyperlink>
      <w:r>
        <w:t xml:space="preserve"> - This Reuters article reports on France signaling it may block the use of crypto licenses granted in other EU countries—a practice known as 'passporting'—as it pushes for centralized oversight by the European Securities and Markets Authority (ESMA). The move comes amid concerns from France’s financial watchdog, the AMF, that crypto firms are exploiting regulatory disparities across EU states by seeking licenses from lenient jurisdictions.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tbond.com/resources/fund-tokenization-in-2026-the-complete-guide-for-modern-funds/" TargetMode="External"/><Relationship Id="rId10" Type="http://schemas.openxmlformats.org/officeDocument/2006/relationships/hyperlink" Target="https://www.forbes.com/sites/digital-assets/2024/11/03/fund-tokenization-how-close-to-the-next-financial-revolution/" TargetMode="External"/><Relationship Id="rId11" Type="http://schemas.openxmlformats.org/officeDocument/2006/relationships/hyperlink" Target="https://www.antiersolutions.com/blogs/global-regulatory-frameworks-for-tokenized-assets-in-2026/" TargetMode="External"/><Relationship Id="rId12" Type="http://schemas.openxmlformats.org/officeDocument/2006/relationships/hyperlink" Target="https://www.reuters.com/sustainability/boards-policy-regulation/european-securities-regulator-warns-about-crypto-firms-misleading-customers-2025-07-11/" TargetMode="External"/><Relationship Id="rId13" Type="http://schemas.openxmlformats.org/officeDocument/2006/relationships/hyperlink" Target="https://www.reuters.com/legal/government/eu-regulator-criticises-maltas-crypto-licensing-process-2025-07-10/" TargetMode="External"/><Relationship Id="rId14" Type="http://schemas.openxmlformats.org/officeDocument/2006/relationships/hyperlink" Target="https://www.reuters.com/sustainability/boards-policy-regulation/france-threatens-block-crypto-licence-passporting-eu-regulatory-fight-2025-09-15/" TargetMode="External"/><Relationship Id="rId15" Type="http://schemas.openxmlformats.org/officeDocument/2006/relationships/hyperlink" Target="https://www.reuters.com/markets/wealth/goldman-bny-team-up-launch-tokens-tied-money-market-funds-2025-07-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