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Willis Re’s strategic re-engagement with ILWs and ILS signals market expansion and a brand revival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Willis Re is rapidly rebuilding a specialist broking capability tailored to the expanding market for industry-loss warranties (ILWs), property retrocession and insurance-linked securities (ILS)-backed reinsurance, following its relaunch by WTW in partnership with Bain Capital. According to the original report, the newly formed broker has announced a string of senior hires with direct experience of ILW structuring and index-based solutions, signalling an intent to trade closely with ILS funds, collateralised markets and other third‑party capital providers. </w:t>
      </w:r>
      <w:hyperlink r:id="rId9">
        <w:r>
          <w:rPr>
            <w:color w:val="0000EE"/>
            <w:u w:val="single"/>
          </w:rPr>
          <w:t>[1]</w:t>
        </w:r>
      </w:hyperlink>
      <w:hyperlink r:id="rId9">
        <w:r>
          <w:rPr>
            <w:color w:val="0000EE"/>
            <w:u w:val="single"/>
          </w:rPr>
          <w:t>[2]</w:t>
        </w:r>
      </w:hyperlink>
      <w:r/>
    </w:p>
    <w:p>
      <w:r/>
      <w:r>
        <w:t xml:space="preserve">The most high‑profile appointment is David “Larry” Rothstein, a 23‑year veteran of Guy Carpenter who co‑led that firm’s ILW and index broking practice. According to the original report, Willis Re said Rothstein “Is recognised for his deep expertise in the structuring, negotiation and discreet execution of index-based solutions. His client focussed approach has earned him an outstanding reputation with clients, markets and colleagues across the global reinsurance community.” Lucy Clarke, a member of the Willis Re board, commented: “Larry brings not only exceptional knowledge but also a good natured and vibrant personality to Willis Re and its business partners. His experience will further strengthen the collaborative culture and specialist capabilities of the business.” </w:t>
      </w:r>
      <w:hyperlink r:id="rId9">
        <w:r>
          <w:rPr>
            <w:color w:val="0000EE"/>
            <w:u w:val="single"/>
          </w:rPr>
          <w:t>[1]</w:t>
        </w:r>
      </w:hyperlink>
      <w:r/>
    </w:p>
    <w:p>
      <w:r/>
      <w:r>
        <w:t xml:space="preserve">Joining Rothstein are three other senior hires from Guy Carpenter: Marc Wagdin, Simon Goddard and Charlie Hall. Willis Re described Wagdin as having “deep expertise in ILS reinsurance” after a 22‑year career that most recently saw him head account servicing; Goddard was characterised as possessing “deep expertise across both property retrocession and catastrophe direct &amp; facultative placements” following 20 years in non‑marine property retro; and Hall was singled out for her work on complex property programmes across retrocession and catastrophe placements. Lucy Clarke offered praise for each appointee, highlighting collaborative mindsets, technical strength and leadership attributes. </w:t>
      </w:r>
      <w:hyperlink r:id="rId9">
        <w:r>
          <w:rPr>
            <w:color w:val="0000EE"/>
            <w:u w:val="single"/>
          </w:rPr>
          <w:t>[1]</w:t>
        </w:r>
      </w:hyperlink>
      <w:hyperlink r:id="rId9">
        <w:r>
          <w:rPr>
            <w:color w:val="0000EE"/>
            <w:u w:val="single"/>
          </w:rPr>
          <w:t>[2]</w:t>
        </w:r>
      </w:hyperlink>
      <w:r/>
    </w:p>
    <w:p>
      <w:r/>
      <w:r>
        <w:t xml:space="preserve">The recruitment drive comes as demand for index‑based reinsurance and retrocession has been rising. Industry data shows ILW issuances using benchmark indexes reached a 10‑year high in 2025, with transactions approaching $900m of total limit, driven by appetite for standardised, index‑linked risk transfer in Europe and Asia Pacific and an expansion of peril coverage into storm exposures in markets such as Australia and Canada. That trend reinforces why broking expertise in ILW structuring and discreet execution is commercially valuable to brokers engaging with third‑party capital. </w:t>
      </w:r>
      <w:hyperlink r:id="rId10">
        <w:r>
          <w:rPr>
            <w:color w:val="0000EE"/>
            <w:u w:val="single"/>
          </w:rPr>
          <w:t>[5]</w:t>
        </w:r>
      </w:hyperlink>
      <w:r/>
    </w:p>
    <w:p>
      <w:r/>
      <w:r>
        <w:t xml:space="preserve">Willis Re’s build‑out should be seen in the context of a broader market response: specialist ILS managers and boutique intermediaries are also expanding capacity in retrocession and index products. Radix ILS, for example, has recently added senior hires with retro and ILW experience to its team, while major broking rivals offer integrated property retrocession and indexed products supported by large global teams and analytics. The recruitment activity across firms reflects both growing investor interest in collateralised reinsurance and the technical demands of transacting ILWs and ILS‑linked placements. </w:t>
      </w:r>
      <w:hyperlink r:id="rId11">
        <w:r>
          <w:rPr>
            <w:color w:val="0000EE"/>
            <w:u w:val="single"/>
          </w:rPr>
          <w:t>[3]</w:t>
        </w:r>
      </w:hyperlink>
      <w:hyperlink r:id="rId12">
        <w:r>
          <w:rPr>
            <w:color w:val="0000EE"/>
            <w:u w:val="single"/>
          </w:rPr>
          <w:t>[4]</w:t>
        </w:r>
      </w:hyperlink>
      <w:r/>
    </w:p>
    <w:p>
      <w:r/>
      <w:r>
        <w:t xml:space="preserve">The move also aligns with WTW’s wider branding strategy. The parent group has reinstated use of the historic “Willis” trading name for parts of its broking business, an effort intended to capitalise on long‑standing brand equity as it repositions operations in a competitive reinsurance landscape. According to reporting on the relaunch, WTW’s reuse of the Willis name is intended to strengthen market presence and client engagement as the firm scales the newly reconstituted broker. Industry commentary suggests the brand restoration and targeted hires form a coordinated push to capture flows from both traditional reinsurance buyers and the growing pool of ILS and third‑party capital. </w:t>
      </w:r>
      <w:hyperlink r:id="rId13">
        <w:r>
          <w:rPr>
            <w:color w:val="0000EE"/>
            <w:u w:val="single"/>
          </w:rPr>
          <w:t>[6]</w:t>
        </w:r>
      </w:hyperlink>
      <w:hyperlink r:id="rId14">
        <w:r>
          <w:rPr>
            <w:color w:val="0000EE"/>
            <w:u w:val="single"/>
          </w:rPr>
          <w:t>[7]</w:t>
        </w:r>
      </w:hyperlink>
      <w:r/>
    </w:p>
    <w:p>
      <w:r/>
      <w:r>
        <w:t xml:space="preserve">While Willis Re presents the appointments as strengthening its capacity to serve clients across ILW, retrocession and ILS‑backed reinsurance, market observers note that successful competition for third‑party capital will depend on execution, platform capabilities and maintained access to capital counterparties. Industry participants say the technical complexity of index structures and the need for trusted execution means experienced personnel like Rothstein and his colleagues are likely to be focal points for the firm as it seeks to convert investor interest into traded transactions. </w:t>
      </w:r>
      <w:hyperlink r:id="rId9">
        <w:r>
          <w:rPr>
            <w:color w:val="0000EE"/>
            <w:u w:val="single"/>
          </w:rPr>
          <w:t>[1]</w:t>
        </w:r>
      </w:hyperlink>
      <w:hyperlink r:id="rId10">
        <w:r>
          <w:rPr>
            <w:color w:val="0000EE"/>
            <w:u w:val="single"/>
          </w:rPr>
          <w:t>[5]</w:t>
        </w:r>
      </w:hyperlink>
      <w:hyperlink r:id="rId11">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(Artemis) - Paragraph 1, Paragraph 2, Paragraph 3, Paragraph 7 </w:t>
      </w:r>
      <w:r/>
    </w:p>
    <w:p>
      <w:pPr>
        <w:pStyle w:val="ListBullet"/>
        <w:spacing w:line="240" w:lineRule="auto"/>
        <w:ind w:left="720"/>
      </w:pPr>
      <w:r/>
      <w:hyperlink r:id="rId9">
        <w:r>
          <w:rPr>
            <w:color w:val="0000EE"/>
            <w:u w:val="single"/>
          </w:rPr>
          <w:t>[2]</w:t>
        </w:r>
      </w:hyperlink>
      <w:r>
        <w:t xml:space="preserve"> (Artemis summary) - Paragraph 1, Paragraph 3 </w:t>
      </w:r>
      <w:r/>
    </w:p>
    <w:p>
      <w:pPr>
        <w:pStyle w:val="ListBullet"/>
        <w:spacing w:line="240" w:lineRule="auto"/>
        <w:ind w:left="720"/>
      </w:pPr>
      <w:r/>
      <w:hyperlink r:id="rId11">
        <w:r>
          <w:rPr>
            <w:color w:val="0000EE"/>
            <w:u w:val="single"/>
          </w:rPr>
          <w:t>[3]</w:t>
        </w:r>
      </w:hyperlink>
      <w:r>
        <w:t xml:space="preserve"> (Insurance Business / Radix ILS) - Paragraph 5, Paragraph 7 </w:t>
      </w:r>
      <w:r/>
    </w:p>
    <w:p>
      <w:pPr>
        <w:pStyle w:val="ListBullet"/>
        <w:spacing w:line="240" w:lineRule="auto"/>
        <w:ind w:left="720"/>
      </w:pPr>
      <w:r/>
      <w:hyperlink r:id="rId12">
        <w:r>
          <w:rPr>
            <w:color w:val="0000EE"/>
            <w:u w:val="single"/>
          </w:rPr>
          <w:t>[4]</w:t>
        </w:r>
      </w:hyperlink>
      <w:r>
        <w:t xml:space="preserve"> (Gallagher Re) - Paragraph 5 </w:t>
      </w:r>
      <w:r/>
    </w:p>
    <w:p>
      <w:pPr>
        <w:pStyle w:val="ListBullet"/>
        <w:spacing w:line="240" w:lineRule="auto"/>
        <w:ind w:left="720"/>
      </w:pPr>
      <w:r/>
      <w:hyperlink r:id="rId10">
        <w:r>
          <w:rPr>
            <w:color w:val="0000EE"/>
            <w:u w:val="single"/>
          </w:rPr>
          <w:t>[5]</w:t>
        </w:r>
      </w:hyperlink>
      <w:r>
        <w:t xml:space="preserve"> (The Insurer / Perils data) - Paragraph 4, Paragraph 7 </w:t>
      </w:r>
      <w:r/>
    </w:p>
    <w:p>
      <w:pPr>
        <w:pStyle w:val="ListBullet"/>
        <w:spacing w:line="240" w:lineRule="auto"/>
        <w:ind w:left="720"/>
      </w:pPr>
      <w:r/>
      <w:hyperlink r:id="rId13">
        <w:r>
          <w:rPr>
            <w:color w:val="0000EE"/>
            <w:u w:val="single"/>
          </w:rPr>
          <w:t>[6]</w:t>
        </w:r>
      </w:hyperlink>
      <w:r>
        <w:t xml:space="preserve"> (Insurance Insider) - Paragraph 6 </w:t>
      </w:r>
      <w:r/>
    </w:p>
    <w:p>
      <w:pPr>
        <w:pStyle w:val="ListBullet"/>
        <w:spacing w:line="240" w:lineRule="auto"/>
        <w:ind w:left="720"/>
      </w:pPr>
      <w:r/>
      <w:hyperlink r:id="rId14">
        <w:r>
          <w:rPr>
            <w:color w:val="0000EE"/>
            <w:u w:val="single"/>
          </w:rPr>
          <w:t>[7]</w:t>
        </w:r>
      </w:hyperlink>
      <w:r>
        <w:t xml:space="preserve"> (Insurance Insider duplicate)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https://www.artemis.bm/news/willis-re-adds-ilw-ils-property-retro-broking-expertise-new-joiners/?utm_source=rss&amp;utm_medium=rss&amp;utm_campaign=willis-re-adds-ilw-ils-property-retro-broking-expertise-new-joiners</w:t>
        </w:r>
      </w:hyperlink>
      <w:r>
        <w:t xml:space="preserve"> - Please view link - unable to able to access data</w:t>
      </w:r>
      <w:r/>
    </w:p>
    <w:p>
      <w:pPr>
        <w:pStyle w:val="ListNumber"/>
        <w:spacing w:line="240" w:lineRule="auto"/>
        <w:ind w:left="720"/>
      </w:pPr>
      <w:r/>
      <w:hyperlink r:id="rId9">
        <w:r>
          <w:rPr>
            <w:color w:val="0000EE"/>
            <w:u w:val="single"/>
          </w:rPr>
          <w:t>https://www.artemis.bm/news/willis-re-adds-ilw-ils-property-retro-broking-expertise-new-joiners/?utm_source=rss&amp;utm_medium=rss&amp;utm_campaign=willis-re-adds-ilw-ils-property-retro-broking-expertise-new-joiners</w:t>
        </w:r>
      </w:hyperlink>
      <w:r>
        <w:t xml:space="preserve"> - Willis Re, the reinsurance brokerage launched by WTW in partnership with Bain Capital, is expanding its expertise in industry-loss warranty (ILW) broking, non-marine property retrocession, and ILS-backed reinsurance. Recent hires include David 'Larry' Rothstein, Marc Wagdin, Simon Goddard, and Charlie Hall, all formerly with Guy Carpenter, bringing extensive experience in these areas to strengthen Willis Re's capabilities in the ILS and third-party capital markets.</w:t>
      </w:r>
      <w:r/>
    </w:p>
    <w:p>
      <w:pPr>
        <w:pStyle w:val="ListNumber"/>
        <w:spacing w:line="240" w:lineRule="auto"/>
        <w:ind w:left="720"/>
      </w:pPr>
      <w:r/>
      <w:hyperlink r:id="rId11">
        <w:r>
          <w:rPr>
            <w:color w:val="0000EE"/>
            <w:u w:val="single"/>
          </w:rPr>
          <w:t>https://www.insurancebusinessmag.com/reinsurance/news/breaking-news/radix-ils-expands-team-with-key-hires-530850.aspx</w:t>
        </w:r>
      </w:hyperlink>
      <w:r>
        <w:t xml:space="preserve"> - Radix ILS has appointed Rachel Barnes Binnie and Gordon Jin to enhance its reinsurance and ILS sectors. Binnie, with a decade in property reinsurance, previously served as a retro broker at Aon in Bermuda. Jin, an actuary specialising in retrocession and ILW instruments, joins from Aon, bringing experience from Guy Carpenter and Willis Towers Watson. Their combined expertise in broking, underwriting, and actuarial science aims to strengthen Radix ILS's offerings.</w:t>
      </w:r>
      <w:r/>
    </w:p>
    <w:p>
      <w:pPr>
        <w:pStyle w:val="ListNumber"/>
        <w:spacing w:line="240" w:lineRule="auto"/>
        <w:ind w:left="720"/>
      </w:pPr>
      <w:r/>
      <w:hyperlink r:id="rId12">
        <w:r>
          <w:rPr>
            <w:color w:val="0000EE"/>
            <w:u w:val="single"/>
          </w:rPr>
          <w:t>https://www.ajg.com/gallagherre/products/property-retrosession/</w:t>
        </w:r>
      </w:hyperlink>
      <w:r>
        <w:t xml:space="preserve"> - Gallagher Re offers comprehensive property retrocession and indexed products, including non-proportional and proportional treaty reinsurance, multi-class covers, and catastrophe protections. Their integrated approach combines ILW, ILS, and analytical expertise, supported by a global team of over 300 professionals. This strategy aims to deliver efficient, effective, and sustainable solutions for clients in the property retrocession market.</w:t>
      </w:r>
      <w:r/>
    </w:p>
    <w:p>
      <w:pPr>
        <w:pStyle w:val="ListNumber"/>
        <w:spacing w:line="240" w:lineRule="auto"/>
        <w:ind w:left="720"/>
      </w:pPr>
      <w:r/>
      <w:hyperlink r:id="rId10">
        <w:r>
          <w:rPr>
            <w:color w:val="0000EE"/>
            <w:u w:val="single"/>
          </w:rPr>
          <w:t>https://www.theinsurer.com/ti/reinsurancemonth/perils-says-2025-sets-10-year-record-for-ilw-issuances-using-its-indexes-2025-09-09/</w:t>
        </w:r>
      </w:hyperlink>
      <w:r>
        <w:t xml:space="preserve"> - Perils reports a 10-year high in ILW issuances using its indexes, with transactions representing nearly $900 million in total limit in 2025. The growth is attributed to increased demand for index-based reinsurance and retro coverage in Europe and Asia Pacific. European windstorm remains the primary peril, with expanding coverage into severe convective storms in regions like Australia and Canada.</w:t>
      </w:r>
      <w:r/>
    </w:p>
    <w:p>
      <w:pPr>
        <w:pStyle w:val="ListNumber"/>
        <w:spacing w:line="240" w:lineRule="auto"/>
        <w:ind w:left="720"/>
      </w:pPr>
      <w:r/>
      <w:hyperlink r:id="rId13">
        <w:r>
          <w:rPr>
            <w:color w:val="0000EE"/>
            <w:u w:val="single"/>
          </w:rPr>
          <w:t>https://www.insuranceinsiderus.com/article/2eakbn4l85qygskb855og/all-segments/insurance-broker-news/wtw-revives-willis-and-towers-watson-as-trading-names?zephr_sso_ott=3Yz02E</w:t>
        </w:r>
      </w:hyperlink>
      <w:r>
        <w:t xml:space="preserve"> - WTW has reinstated the use of 'Willis' as a trading brand for its broking businesses, aiming to leverage the nearly 200-year-old name's equity. This strategic move reflects WTW's efforts to enhance its market presence and client engagement by capitalising on the established reputation of the Willis brand.</w:t>
      </w:r>
      <w:r/>
    </w:p>
    <w:p>
      <w:pPr>
        <w:pStyle w:val="ListNumber"/>
        <w:spacing w:line="240" w:lineRule="auto"/>
        <w:ind w:left="720"/>
      </w:pPr>
      <w:r/>
      <w:hyperlink r:id="rId14">
        <w:r>
          <w:rPr>
            <w:color w:val="0000EE"/>
            <w:u w:val="single"/>
          </w:rPr>
          <w:t>https://www.insuranceinsiderus.com/article/2eakbn4l85qygskb855og/all-segments/insurance-broker-news/wtw-revives-willis-and-towers-watson-as-trading-names?zephr_sso_ott=dFc9Zn</w:t>
        </w:r>
      </w:hyperlink>
      <w:r>
        <w:t xml:space="preserve"> - WTW has reinstated the use of 'Willis' as a trading brand for its broking businesses, aiming to leverage the nearly 200-year-old name's equity. This strategic move reflects WTW's efforts to enhance its market presence and client engagement by capitalising on the established reputation of the Willis brand.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emis.bm/news/willis-re-adds-ilw-ils-property-retro-broking-expertise-new-joiners/?utm_source=rss&amp;utm_medium=rss&amp;utm_campaign=willis-re-adds-ilw-ils-property-retro-broking-expertise-new-joiners" TargetMode="External"/><Relationship Id="rId10" Type="http://schemas.openxmlformats.org/officeDocument/2006/relationships/hyperlink" Target="https://www.theinsurer.com/ti/reinsurancemonth/perils-says-2025-sets-10-year-record-for-ilw-issuances-using-its-indexes-2025-09-09/" TargetMode="External"/><Relationship Id="rId11" Type="http://schemas.openxmlformats.org/officeDocument/2006/relationships/hyperlink" Target="https://www.insurancebusinessmag.com/reinsurance/news/breaking-news/radix-ils-expands-team-with-key-hires-530850.aspx" TargetMode="External"/><Relationship Id="rId12" Type="http://schemas.openxmlformats.org/officeDocument/2006/relationships/hyperlink" Target="https://www.ajg.com/gallagherre/products/property-retrosession/" TargetMode="External"/><Relationship Id="rId13" Type="http://schemas.openxmlformats.org/officeDocument/2006/relationships/hyperlink" Target="https://www.insuranceinsiderus.com/article/2eakbn4l85qygskb855og/all-segments/insurance-broker-news/wtw-revives-willis-and-towers-watson-as-trading-names?zephr_sso_ott=3Yz02E" TargetMode="External"/><Relationship Id="rId14" Type="http://schemas.openxmlformats.org/officeDocument/2006/relationships/hyperlink" Target="https://www.insuranceinsiderus.com/article/2eakbn4l85qygskb855og/all-segments/insurance-broker-news/wtw-revives-willis-and-towers-watson-as-trading-names?zephr_sso_ott=dFc9Z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