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ADI Foundation’s rapid growth signals institutional trust in compliant blockchain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ADI Foundation has moved quickly from testnet to traction, announcing that ADI Chain, billed as the MENA region’s first institutional Layer‑2 blockchain, has secured memoranda of understanding with BlackRock, Mastercard and Franklin Templeton within days of its mainnet launch, a development the foundation says signals early institutional confidence in compliance-focused blockchain infrastructure. According to the announcement by the ADI Foundation, BlackRock will explore initiatives aimed at accelerating blockchain adoption across financial markets, concentrating on institution-grade tokenised asset structures, distribution models and regulatory-aligned frameworks intended to support market development and reinforce Abu Dhabi’s ambition as a global digital asset hub.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Mastercard’s collaboration, the foundation said, centres on blockchain-based payments and asset tokenisation across the Middle East, with workstreams to examine stablecoin settlement, cross-border payments and regulated digital-asset rails that operate within existing compliance regimes. Industry reporting similarly described the partnership as focused on payments rails and regulated tokenisation that dovetail with incumbent compliance requirements. </w:t>
      </w:r>
      <w:hyperlink r:id="rId9">
        <w:r>
          <w:rPr>
            <w:color w:val="0000EE"/>
            <w:u w:val="single"/>
          </w:rPr>
          <w:t>[1]</w:t>
        </w:r>
      </w:hyperlink>
      <w:hyperlink r:id="rId12">
        <w:r>
          <w:rPr>
            <w:color w:val="0000EE"/>
            <w:u w:val="single"/>
          </w:rPr>
          <w:t>[7]</w:t>
        </w:r>
      </w:hyperlink>
      <w:hyperlink r:id="rId10">
        <w:r>
          <w:rPr>
            <w:color w:val="0000EE"/>
            <w:u w:val="single"/>
          </w:rPr>
          <w:t>[2]</w:t>
        </w:r>
      </w:hyperlink>
      <w:r/>
    </w:p>
    <w:p>
      <w:r/>
      <w:r>
        <w:t xml:space="preserve">Franklin Templeton has signed an MoU to explore regulated digital-asset infrastructure within Abu Dhabi Global Market, the ADI Foundation said, with a focus on creating compliant pathways for institutions to issue and distribute tokenised products, strengthening digital settlement rails and researching stablecoins and tokenised assets aligned with regulatory standards. The firms’ public statements present the engagements as exploratory MoUs rather than binding commercial agreements, underlining a deliberately staged approach to institutional adoption.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mainnet launch of ADI Chain coincided with the listing of the ADI utility token on several major exchanges and broadened access through third‑party wallets, moves the foundation presents as demonstrating market demand for compliance-ready infrastructure beyond purely institutional users. Press releases and industry coverage list Kraken, Crypto.com and KuCoin among exchanges carrying the token, and note availability via Wallet in Telegram and Fasset. The foundation has also described a pipeline of more than 50 institutional and enterprise projects across 20 countries, citing active pilots in travel management, real-estate workflows, energy transition and driver education within the UAE. </w:t>
      </w:r>
      <w:hyperlink r:id="rId9">
        <w:r>
          <w:rPr>
            <w:color w:val="0000EE"/>
            <w:u w:val="single"/>
          </w:rPr>
          <w:t>[1]</w:t>
        </w:r>
      </w:hyperlink>
      <w:hyperlink r:id="rId11">
        <w:r>
          <w:rPr>
            <w:color w:val="0000EE"/>
            <w:u w:val="single"/>
          </w:rPr>
          <w:t>[3]</w:t>
        </w:r>
      </w:hyperlink>
      <w:hyperlink r:id="rId13">
        <w:r>
          <w:rPr>
            <w:color w:val="0000EE"/>
            <w:u w:val="single"/>
          </w:rPr>
          <w:t>[4]</w:t>
        </w:r>
      </w:hyperlink>
      <w:hyperlink r:id="rId14">
        <w:r>
          <w:rPr>
            <w:color w:val="0000EE"/>
            <w:u w:val="single"/>
          </w:rPr>
          <w:t>[6]</w:t>
        </w:r>
      </w:hyperlink>
      <w:r/>
    </w:p>
    <w:p>
      <w:r/>
      <w:r>
        <w:t xml:space="preserve">Core technical partners named by the foundation include ZKsync for zero-knowledge proof technology, Alchemy for large-scale deployment, WalletConnect for wallet interoperability and Covalent for real-time blockchain data services, reflecting an emphasis on combining layer‑2 scalability and interoperability with tooling familiar to developers and institutions. Earlier testnet materials emphasised the network’s EVM compatibility and its intended role in hosting sovereign and commercial stablecoins. </w:t>
      </w:r>
      <w:hyperlink r:id="rId9">
        <w:r>
          <w:rPr>
            <w:color w:val="0000EE"/>
            <w:u w:val="single"/>
          </w:rPr>
          <w:t>[1]</w:t>
        </w:r>
      </w:hyperlink>
      <w:hyperlink r:id="rId15">
        <w:r>
          <w:rPr>
            <w:color w:val="0000EE"/>
            <w:u w:val="single"/>
          </w:rPr>
          <w:t>[5]</w:t>
        </w:r>
      </w:hyperlink>
      <w:hyperlink r:id="rId13">
        <w:r>
          <w:rPr>
            <w:color w:val="0000EE"/>
            <w:u w:val="single"/>
          </w:rPr>
          <w:t>[4]</w:t>
        </w:r>
      </w:hyperlink>
      <w:r/>
    </w:p>
    <w:p>
      <w:r/>
      <w:r>
        <w:t xml:space="preserve">A notable element of the ADI Foundation’s roadmap is the selection of ADI Chain to host a UAE dirham‑backed stablecoin to be issued by First Abu Dhabi Bank and IHC, a token the foundation says will be regulated by the UAE Central Bank. Alongside infrastructure plans, the foundation intends to launch a “Future Tech 4.0” education initiative with Abu Dhabi Global Market and regional universities, targeting the training of more than 10,000 Web3 specialists as part of a wider goal to bring one billion people on‑chain by 2030. These ambitions, the foundation argues, prioritise regulatory alignment and government-grade deployment over raw throughput metrics. </w:t>
      </w:r>
      <w:hyperlink r:id="rId9">
        <w:r>
          <w:rPr>
            <w:color w:val="0000EE"/>
            <w:u w:val="single"/>
          </w:rPr>
          <w:t>[1]</w:t>
        </w:r>
      </w:hyperlink>
      <w:hyperlink r:id="rId15">
        <w:r>
          <w:rPr>
            <w:color w:val="0000EE"/>
            <w:u w:val="single"/>
          </w:rPr>
          <w:t>[5]</w:t>
        </w:r>
      </w:hyperlink>
      <w:r/>
    </w:p>
    <w:p>
      <w:r/>
      <w:r>
        <w:t xml:space="preserve">Taken together, the MoUs with BlackRock, Mastercard and Franklin Templeton, the ADI Chain mainnet and the stablecoin mandate represent a concerted effort to marry institutional credibility with local regulatory endorsement. However, observers note that MoUs are early-stage vehicles for collaboration and that operational, legal and regulatory work will be required to move pilots into production; industry commentary and the ADI Foundation’s own materials present the current phase as formation of frameworks and pilot programmes rather than completed market infrastructure. </w:t>
      </w:r>
      <w:hyperlink r:id="rId9">
        <w:r>
          <w:rPr>
            <w:color w:val="0000EE"/>
            <w:u w:val="single"/>
          </w:rPr>
          <w:t>[1]</w:t>
        </w:r>
      </w:hyperlink>
      <w:hyperlink r:id="rId10">
        <w:r>
          <w:rPr>
            <w:color w:val="0000EE"/>
            <w:u w:val="single"/>
          </w:rPr>
          <w:t>[2]</w:t>
        </w:r>
      </w:hyperlink>
      <w:hyperlink r:id="rId12">
        <w:r>
          <w:rPr>
            <w:color w:val="0000EE"/>
            <w:u w:val="single"/>
          </w:rPr>
          <w:t>[7]</w:t>
        </w:r>
      </w:hyperlink>
      <w:r/>
    </w:p>
    <w:p>
      <w:r/>
      <w:r>
        <w:t xml:space="preserve">As ADI Chain transitions from announcement to implementation, the shape and speed of institutional deployments will depend on regulatory approvals, technical integration with incumbent financial systems and the commercial terms reached with issuers and market participants. The ADI Foundation frames the mainnet launch and the partnerships as the start of institutional adoption in the region,while industry reporting places the developments in the broader context of incumbents testing regulated rails for tokenised assets and stablecoins. </w:t>
      </w:r>
      <w:hyperlink r:id="rId9">
        <w:r>
          <w:rPr>
            <w:color w:val="0000EE"/>
            <w:u w:val="single"/>
          </w:rPr>
          <w:t>[1]</w:t>
        </w:r>
      </w:hyperlink>
      <w:hyperlink r:id="rId11">
        <w:r>
          <w:rPr>
            <w:color w:val="0000EE"/>
            <w:u w:val="single"/>
          </w:rPr>
          <w:t>[3]</w:t>
        </w:r>
      </w:hyperlink>
      <w:hyperlink r:id="rId12">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Finance World) - Paragraph 1, Paragraph 2, Paragraph 3, Paragraph 4, Paragraph 5, Paragraph 6, Paragraph 7, Paragraph 8 </w:t>
      </w:r>
      <w:r/>
    </w:p>
    <w:p>
      <w:pPr>
        <w:pStyle w:val="ListBullet"/>
        <w:spacing w:line="240" w:lineRule="auto"/>
        <w:ind w:left="720"/>
      </w:pPr>
      <w:r/>
      <w:hyperlink r:id="rId10">
        <w:r>
          <w:rPr>
            <w:color w:val="0000EE"/>
            <w:u w:val="single"/>
          </w:rPr>
          <w:t>[2]</w:t>
        </w:r>
      </w:hyperlink>
      <w:r>
        <w:t xml:space="preserve"> (GlobeNewswire) - Paragraph 1, Paragraph 2, Paragraph 7 </w:t>
      </w:r>
      <w:r/>
    </w:p>
    <w:p>
      <w:pPr>
        <w:pStyle w:val="ListBullet"/>
        <w:spacing w:line="240" w:lineRule="auto"/>
        <w:ind w:left="720"/>
      </w:pPr>
      <w:r/>
      <w:hyperlink r:id="rId11">
        <w:r>
          <w:rPr>
            <w:color w:val="0000EE"/>
            <w:u w:val="single"/>
          </w:rPr>
          <w:t>[3]</w:t>
        </w:r>
      </w:hyperlink>
      <w:r>
        <w:t xml:space="preserve"> (PR Newswire) - Paragraph 1, Paragraph 4, Paragraph 8 </w:t>
      </w:r>
      <w:r/>
    </w:p>
    <w:p>
      <w:pPr>
        <w:pStyle w:val="ListBullet"/>
        <w:spacing w:line="240" w:lineRule="auto"/>
        <w:ind w:left="720"/>
      </w:pPr>
      <w:r/>
      <w:hyperlink r:id="rId13">
        <w:r>
          <w:rPr>
            <w:color w:val="0000EE"/>
            <w:u w:val="single"/>
          </w:rPr>
          <w:t>[4]</w:t>
        </w:r>
      </w:hyperlink>
      <w:r>
        <w:t xml:space="preserve"> (Chainwire) - Paragraph 4, Paragraph 5 </w:t>
      </w:r>
      <w:r/>
    </w:p>
    <w:p>
      <w:pPr>
        <w:pStyle w:val="ListBullet"/>
        <w:spacing w:line="240" w:lineRule="auto"/>
        <w:ind w:left="720"/>
      </w:pPr>
      <w:r/>
      <w:hyperlink r:id="rId15">
        <w:r>
          <w:rPr>
            <w:color w:val="0000EE"/>
            <w:u w:val="single"/>
          </w:rPr>
          <w:t>[5]</w:t>
        </w:r>
      </w:hyperlink>
      <w:r>
        <w:t xml:space="preserve"> (BusinessWire) - Paragraph 5, Paragraph 6 </w:t>
      </w:r>
      <w:r/>
    </w:p>
    <w:p>
      <w:pPr>
        <w:pStyle w:val="ListBullet"/>
        <w:spacing w:line="240" w:lineRule="auto"/>
        <w:ind w:left="720"/>
      </w:pPr>
      <w:r/>
      <w:hyperlink r:id="rId14">
        <w:r>
          <w:rPr>
            <w:color w:val="0000EE"/>
            <w:u w:val="single"/>
          </w:rPr>
          <w:t>[6]</w:t>
        </w:r>
      </w:hyperlink>
      <w:r>
        <w:t xml:space="preserve"> (KuCoin News) - Paragraph 4 </w:t>
      </w:r>
      <w:r/>
    </w:p>
    <w:p>
      <w:pPr>
        <w:pStyle w:val="ListBullet"/>
        <w:spacing w:line="240" w:lineRule="auto"/>
        <w:ind w:left="720"/>
      </w:pPr>
      <w:r/>
      <w:hyperlink r:id="rId12">
        <w:r>
          <w:rPr>
            <w:color w:val="0000EE"/>
            <w:u w:val="single"/>
          </w:rPr>
          <w:t>[7]</w:t>
        </w:r>
      </w:hyperlink>
      <w:r>
        <w:t xml:space="preserve"> (PYMNTS) - Paragraph 2, Paragraph 7,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https://thefinanceworld.com/blackrock-mastercard-franklin-templeton-collaborate-with-adi/</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https://www.globenewswire.com/news-release/2025/12/18/3207534/0/en/BlackRock-Mastercard-and-Franklin-Templeton-Announce-Collaboration-with-the-ADI-Foundation-Signaling-Institutional-Adoption.html</w:t>
        </w:r>
      </w:hyperlink>
      <w:r>
        <w:t xml:space="preserve"> - BlackRock, Mastercard, and Franklin Templeton have partnered with the ADI Foundation to accelerate blockchain adoption in financial markets. The collaboration focuses on institution-grade tokenized asset structures, distribution models, and regulatory-aligned frameworks to support market development. This partnership aims to reinforce Abu Dhabi's role as a global digital asset hub. (</w:t>
      </w:r>
      <w:hyperlink r:id="rId17">
        <w:r>
          <w:rPr>
            <w:color w:val="0000EE"/>
            <w:u w:val="single"/>
          </w:rPr>
          <w:t>globenewswire.com</w:t>
        </w:r>
      </w:hyperlink>
      <w:r>
        <w:t>)</w:t>
      </w:r>
      <w:r/>
    </w:p>
    <w:p>
      <w:pPr>
        <w:pStyle w:val="ListNumber"/>
        <w:spacing w:line="240" w:lineRule="auto"/>
        <w:ind w:left="720"/>
      </w:pPr>
      <w:r/>
      <w:hyperlink r:id="rId11">
        <w:r>
          <w:rPr>
            <w:color w:val="0000EE"/>
            <w:u w:val="single"/>
          </w:rPr>
          <w:t>https://www.prnewswire.com/news-releases/adi-foundation-announces-launch-of-adi-chains-mainnet-and-adi-utility-token-302636768.html</w:t>
        </w:r>
      </w:hyperlink>
      <w:r>
        <w:t xml:space="preserve"> - The ADI Foundation has launched the mainnet of ADI Chain and its native ADI utility token, marking a significant milestone in providing compliance-ready blockchain infrastructure for governments and regulated institutions. The launch introduces a new class of blockchain infrastructure designed specifically for emerging markets. (</w:t>
      </w:r>
      <w:hyperlink r:id="rId18">
        <w:r>
          <w:rPr>
            <w:color w:val="0000EE"/>
            <w:u w:val="single"/>
          </w:rPr>
          <w:t>prnewswire.com</w:t>
        </w:r>
      </w:hyperlink>
      <w:r>
        <w:t>)</w:t>
      </w:r>
      <w:r/>
    </w:p>
    <w:p>
      <w:pPr>
        <w:pStyle w:val="ListNumber"/>
        <w:spacing w:line="240" w:lineRule="auto"/>
        <w:ind w:left="720"/>
      </w:pPr>
      <w:r/>
      <w:hyperlink r:id="rId13">
        <w:r>
          <w:rPr>
            <w:color w:val="0000EE"/>
            <w:u w:val="single"/>
          </w:rPr>
          <w:t>https://chainwire.org/2025/12/09/adi-chain-debuts-mainnet-and-adi-token-marking-menas-first-institutional-layer-2-network/</w:t>
        </w:r>
      </w:hyperlink>
      <w:r>
        <w:t xml:space="preserve"> - The ADI Foundation has announced the mainnet launch of ADI Chain, the first institutional Layer-2 blockchain for stablecoins and real-world assets in the MENA region. The $ADI token is listed on major exchanges, including Kraken, Crypto.com, and KuCoin, and is available through Wallet in Telegram and Fasset. (</w:t>
      </w:r>
      <w:hyperlink r:id="rId19">
        <w:r>
          <w:rPr>
            <w:color w:val="0000EE"/>
            <w:u w:val="single"/>
          </w:rPr>
          <w:t>chainwire.org</w:t>
        </w:r>
      </w:hyperlink>
      <w:r>
        <w:t>)</w:t>
      </w:r>
      <w:r/>
    </w:p>
    <w:p>
      <w:pPr>
        <w:pStyle w:val="ListNumber"/>
        <w:spacing w:line="240" w:lineRule="auto"/>
        <w:ind w:left="720"/>
      </w:pPr>
      <w:r/>
      <w:hyperlink r:id="rId15">
        <w:r>
          <w:rPr>
            <w:color w:val="0000EE"/>
            <w:u w:val="single"/>
          </w:rPr>
          <w:t>https://www.businesswire.com/news/home/20250821599488/en/Abu-Dhabi-based-ADI-Foundation-Launches-Testnet-of-ADI-Chain</w:t>
        </w:r>
      </w:hyperlink>
      <w:r>
        <w:t xml:space="preserve"> - The ADI Foundation has launched the public testnet of ADI Chain, an EVM Layer-2 blockchain designed to power the UAE's Dirham-backed stablecoin and major real-world applications across emerging markets. The testnet is open to all developers who want to test ADI Chain’s capabilities and help optimize the network prior to its mainnet deployment. (</w:t>
      </w:r>
      <w:hyperlink r:id="rId20">
        <w:r>
          <w:rPr>
            <w:color w:val="0000EE"/>
            <w:u w:val="single"/>
          </w:rPr>
          <w:t>businesswire.com</w:t>
        </w:r>
      </w:hyperlink>
      <w:r>
        <w:t>)</w:t>
      </w:r>
      <w:r/>
    </w:p>
    <w:p>
      <w:pPr>
        <w:pStyle w:val="ListNumber"/>
        <w:spacing w:line="240" w:lineRule="auto"/>
        <w:ind w:left="720"/>
      </w:pPr>
      <w:r/>
      <w:hyperlink r:id="rId14">
        <w:r>
          <w:rPr>
            <w:color w:val="0000EE"/>
            <w:u w:val="single"/>
          </w:rPr>
          <w:t>https://www.kucoin.com/news/flash/adi-chain-mainnet-launches-with-adi-listed-on-major-exchanges</w:t>
        </w:r>
      </w:hyperlink>
      <w:r>
        <w:t xml:space="preserve"> - ADI Chain has officially launched its mainnet with the native token $ADI listed on major exchanges, including Kraken, KuCoin, and Crypto.com. The platform is designed for institutional blockchain use, featuring real-world asset tokenization, sovereign stablecoins, and compliance-ready infrastructure. The network is already supporting over 50 government and enterprise projects across 20 countries and aims to reach one billion users by 2030. (</w:t>
      </w:r>
      <w:hyperlink r:id="rId21">
        <w:r>
          <w:rPr>
            <w:color w:val="0000EE"/>
            <w:u w:val="single"/>
          </w:rPr>
          <w:t>kucoin.com</w:t>
        </w:r>
      </w:hyperlink>
      <w:r>
        <w:t>)</w:t>
      </w:r>
      <w:r/>
    </w:p>
    <w:p>
      <w:pPr>
        <w:pStyle w:val="ListNumber"/>
        <w:spacing w:line="240" w:lineRule="auto"/>
        <w:ind w:left="720"/>
      </w:pPr>
      <w:r/>
      <w:hyperlink r:id="rId12">
        <w:r>
          <w:rPr>
            <w:color w:val="0000EE"/>
            <w:u w:val="single"/>
          </w:rPr>
          <w:t>https://www.pymnts.com/blockchain/2025/mastercard-blackrock-join-middle-east-focused-blockchain-effort/</w:t>
        </w:r>
      </w:hyperlink>
      <w:r>
        <w:t xml:space="preserve"> - Mastercard, BlackRock, and Franklin Templeton have partnered with the ADI Foundation to promote blockchain adoption in the Middle East. The collaboration focuses on blockchain-based payments, asset tokenization, stablecoin settlement, cross-border payments, and digital asset rails designed to operate within existing compliance requirements. (</w:t>
      </w:r>
      <w:hyperlink r:id="rId22">
        <w:r>
          <w:rPr>
            <w:color w:val="0000EE"/>
            <w:u w:val="single"/>
          </w:rPr>
          <w:t>pymnts.com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inanceworld.com/blackrock-mastercard-franklin-templeton-collaborate-with-adi/" TargetMode="External"/><Relationship Id="rId10" Type="http://schemas.openxmlformats.org/officeDocument/2006/relationships/hyperlink" Target="https://www.globenewswire.com/news-release/2025/12/18/3207534/0/en/BlackRock-Mastercard-and-Franklin-Templeton-Announce-Collaboration-with-the-ADI-Foundation-Signaling-Institutional-Adoption.html" TargetMode="External"/><Relationship Id="rId11" Type="http://schemas.openxmlformats.org/officeDocument/2006/relationships/hyperlink" Target="https://www.prnewswire.com/news-releases/adi-foundation-announces-launch-of-adi-chains-mainnet-and-adi-utility-token-302636768.html" TargetMode="External"/><Relationship Id="rId12" Type="http://schemas.openxmlformats.org/officeDocument/2006/relationships/hyperlink" Target="https://www.pymnts.com/blockchain/2025/mastercard-blackrock-join-middle-east-focused-blockchain-effort/" TargetMode="External"/><Relationship Id="rId13" Type="http://schemas.openxmlformats.org/officeDocument/2006/relationships/hyperlink" Target="https://chainwire.org/2025/12/09/adi-chain-debuts-mainnet-and-adi-token-marking-menas-first-institutional-layer-2-network/" TargetMode="External"/><Relationship Id="rId14" Type="http://schemas.openxmlformats.org/officeDocument/2006/relationships/hyperlink" Target="https://www.kucoin.com/news/flash/adi-chain-mainnet-launches-with-adi-listed-on-major-exchanges" TargetMode="External"/><Relationship Id="rId15" Type="http://schemas.openxmlformats.org/officeDocument/2006/relationships/hyperlink" Target="https://www.businesswire.com/news/home/20250821599488/en/Abu-Dhabi-based-ADI-Foundation-Launches-Testnet-of-ADI-Chain" TargetMode="External"/><Relationship Id="rId16" Type="http://schemas.openxmlformats.org/officeDocument/2006/relationships/hyperlink" Target="https://www.noahwire.com" TargetMode="External"/><Relationship Id="rId17" Type="http://schemas.openxmlformats.org/officeDocument/2006/relationships/hyperlink" Target="https://www.globenewswire.com/news-release/2025/12/18/3207534/0/en/BlackRock-Mastercard-and-Franklin-Templeton-Announce-Collaboration-with-the-ADI-Foundation-Signaling-Institutional-Adoption.html?utm_source=openai" TargetMode="External"/><Relationship Id="rId18" Type="http://schemas.openxmlformats.org/officeDocument/2006/relationships/hyperlink" Target="https://www.prnewswire.com/news-releases/adi-foundation-announces-launch-of-adi-chains-mainnet-and-adi-utility-token-302636768.html?utm_source=openai" TargetMode="External"/><Relationship Id="rId19" Type="http://schemas.openxmlformats.org/officeDocument/2006/relationships/hyperlink" Target="https://chainwire.org/2025/12/09/adi-chain-debuts-mainnet-and-adi-token-marking-menas-first-institutional-layer-2-network/?utm_source=openai" TargetMode="External"/><Relationship Id="rId20" Type="http://schemas.openxmlformats.org/officeDocument/2006/relationships/hyperlink" Target="https://www.businesswire.com/news/home/20250821599488/en/Abu-Dhabi-based-ADI-Foundation-Launches-Testnet-of-ADI-Chain?utm_source=openai" TargetMode="External"/><Relationship Id="rId21" Type="http://schemas.openxmlformats.org/officeDocument/2006/relationships/hyperlink" Target="https://www.kucoin.com/news/flash/adi-chain-mainnet-launches-with-adi-listed-on-major-exchanges?utm_source=openai" TargetMode="External"/><Relationship Id="rId22" Type="http://schemas.openxmlformats.org/officeDocument/2006/relationships/hyperlink" Target="https://www.pymnts.com/blockchain/2025/mastercard-blackrock-join-middle-east-focused-blockchain-effor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