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 and Amwins launch Lloyd’s syndicate backed by third-party capital and advanced analytics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AIG and specialty distributor Amwins have launched a new Lloyd’s syndicate, Syndicate 2479, in a joint venture that also brings in third‑party capital managed by Blackstone and is operated by Talbot Underwriting Limited as managing agent. According to Amwins, the vehicle is intended to provide portfolio capacity alongside Amwins’ multiline delegated underwriting franchise and to support the creation of new programmes and long‑term capacity in the Lloyd’s market. </w:t>
      </w:r>
      <w:hyperlink r:id="rId9">
        <w:r>
          <w:rPr>
            <w:color w:val="0000EE"/>
            <w:u w:val="single"/>
          </w:rPr>
          <w:t>[2]</w:t>
        </w:r>
      </w:hyperlink>
      <w:r/>
    </w:p>
    <w:p>
      <w:r/>
      <w:r>
        <w:t xml:space="preserve">There are differing published estimates of the syndicate’s initial stamp and underwriting plans for 2026. Amwins’ announcement states Syndicate 2479 is expected to support approximately $400 million of premium for 2026, while multiple market briefings and press reports, including those carried by Investing.com and Nasdaq, describe the syndicate as starting with roughly $300 million of premiums. Those reports also say AIG will manage the underwriting. The discrepancy in published figures has not been reconciled in the parties’ separate statements. </w:t>
      </w:r>
      <w:hyperlink r:id="rId9">
        <w:r>
          <w:rPr>
            <w:color w:val="0000EE"/>
            <w:u w:val="single"/>
          </w:rPr>
          <w:t>[2]</w:t>
        </w:r>
      </w:hyperlink>
      <w:hyperlink r:id="rId10">
        <w:r>
          <w:rPr>
            <w:color w:val="0000EE"/>
            <w:u w:val="single"/>
          </w:rPr>
          <w:t>[5]</w:t>
        </w:r>
      </w:hyperlink>
      <w:hyperlink r:id="rId11">
        <w:r>
          <w:rPr>
            <w:color w:val="0000EE"/>
            <w:u w:val="single"/>
          </w:rPr>
          <w:t>[6]</w:t>
        </w:r>
      </w:hyperlink>
      <w:hyperlink r:id="rId12">
        <w:r>
          <w:rPr>
            <w:color w:val="0000EE"/>
            <w:u w:val="single"/>
          </w:rPr>
          <w:t>[7]</w:t>
        </w:r>
      </w:hyperlink>
      <w:r/>
    </w:p>
    <w:p>
      <w:r/>
      <w:r>
        <w:t xml:space="preserve">Talbot’s role as managing agent is central to the structure, with Amwins stressing Talbot will provide governance and operational oversight from launch. Industry commentary notes that using an established Lloyd’s managing agent is a common route for carriers and distributors to access Lloyd’s platform and regulatory framework while leveraging delegated authority flows. </w:t>
      </w:r>
      <w:hyperlink r:id="rId9">
        <w:r>
          <w:rPr>
            <w:color w:val="0000EE"/>
            <w:u w:val="single"/>
          </w:rPr>
          <w:t>[2]</w:t>
        </w:r>
      </w:hyperlink>
      <w:hyperlink r:id="rId13">
        <w:r>
          <w:rPr>
            <w:color w:val="0000EE"/>
            <w:u w:val="single"/>
          </w:rPr>
          <w:t>[3]</w:t>
        </w:r>
      </w:hyperlink>
      <w:r/>
    </w:p>
    <w:p>
      <w:r/>
      <w:r>
        <w:t xml:space="preserve">The arrangement follows closely on AIG’s wider strategic use of Lloyd’s capacity and third‑party capital. Last year AIG led the launch of Syndicate 2478 at Lloyd’s, also managed by Talbot, which received a materially larger approved stamp capacity for the 2025 Year of Account and was supported by Blackstone capital routed through Lloyd’s London Bridge 2 PCC structure. That precedent underlines a growing market trend of insurers combining balance‑sheet capital with managed third‑party funds to scale specialty underwriting in London. </w:t>
      </w:r>
      <w:hyperlink r:id="rId13">
        <w:r>
          <w:rPr>
            <w:color w:val="0000EE"/>
            <w:u w:val="single"/>
          </w:rPr>
          <w:t>[3]</w:t>
        </w:r>
      </w:hyperlink>
      <w:r/>
    </w:p>
    <w:p>
      <w:r/>
      <w:r>
        <w:t xml:space="preserve">Several reports also highlight the use of advanced analytics in underwriting the Amwins portfolio. Investing.com and Nasdaq state AIG validated portfolio analysis using Palantir’s Foundry platform and plans to apply data and machine‑learning tools, including Large Language Model agents, to enhance risk selection and operational efficiency, claims that AIG has reiterated in communications about its Lloyd’s ventures. Those technology investments are presented by the parties as a means to underpin underwriting discipline across delegated authority flows. </w:t>
      </w:r>
      <w:hyperlink r:id="rId10">
        <w:r>
          <w:rPr>
            <w:color w:val="0000EE"/>
            <w:u w:val="single"/>
          </w:rPr>
          <w:t>[5]</w:t>
        </w:r>
      </w:hyperlink>
      <w:hyperlink r:id="rId11">
        <w:r>
          <w:rPr>
            <w:color w:val="0000EE"/>
            <w:u w:val="single"/>
          </w:rPr>
          <w:t>[6]</w:t>
        </w:r>
      </w:hyperlink>
      <w:r/>
    </w:p>
    <w:p>
      <w:r/>
      <w:r>
        <w:t xml:space="preserve">Market participants and commentators will watch how Syndicate 2479 performs against the stated premium targets and how governance, data integration and alignment of incentives between insurer, distributor and third‑party capital are implemented. The collaboration brings together a global carrier, a large specialty distributor and institutional capital, reflecting continued innovation in capacity sourcing at Lloyd’s even as pricing, catastrophe exposures and regulatory demands remain central considerations for underwriting profitability. </w:t>
      </w:r>
      <w:hyperlink r:id="rId9">
        <w:r>
          <w:rPr>
            <w:color w:val="0000EE"/>
            <w:u w:val="single"/>
          </w:rPr>
          <w:t>[2]</w:t>
        </w:r>
      </w:hyperlink>
      <w:hyperlink r:id="rId13">
        <w:r>
          <w:rPr>
            <w:color w:val="0000EE"/>
            <w:u w:val="single"/>
          </w:rPr>
          <w:t>[3]</w:t>
        </w:r>
      </w:hyperlink>
      <w:hyperlink r:id="rId10">
        <w:r>
          <w:rPr>
            <w:color w:val="0000EE"/>
            <w:u w:val="single"/>
          </w:rPr>
          <w:t>[5]</w:t>
        </w:r>
      </w:hyperlink>
      <w:r/>
    </w:p>
    <w:p>
      <w:pPr>
        <w:pStyle w:val="Heading2"/>
      </w:pPr>
      <w:r>
        <w:t>Reference Map:</w:t>
      </w:r>
      <w:r/>
      <w:r/>
    </w:p>
    <w:p>
      <w:pPr>
        <w:pStyle w:val="ListBullet"/>
        <w:spacing w:line="240" w:lineRule="auto"/>
        <w:ind w:left="720"/>
      </w:pPr>
      <w:r/>
      <w:hyperlink r:id="rId14">
        <w:r>
          <w:rPr>
            <w:color w:val="0000EE"/>
            <w:u w:val="single"/>
          </w:rPr>
          <w:t>[1]</w:t>
        </w:r>
      </w:hyperlink>
      <w:r>
        <w:t xml:space="preserve"> (Commercial Risk Online) - Paragraph 1 </w:t>
      </w:r>
      <w:r/>
    </w:p>
    <w:p>
      <w:pPr>
        <w:pStyle w:val="ListBullet"/>
        <w:spacing w:line="240" w:lineRule="auto"/>
        <w:ind w:left="720"/>
      </w:pPr>
      <w:r/>
      <w:hyperlink r:id="rId9">
        <w:r>
          <w:rPr>
            <w:color w:val="0000EE"/>
            <w:u w:val="single"/>
          </w:rPr>
          <w:t>[2]</w:t>
        </w:r>
      </w:hyperlink>
      <w:r>
        <w:t xml:space="preserve"> (Amwins press release) - Paragraph 1, Paragraph 2, Paragraph 3, Paragraph 6 </w:t>
      </w:r>
      <w:r/>
    </w:p>
    <w:p>
      <w:pPr>
        <w:pStyle w:val="ListBullet"/>
        <w:spacing w:line="240" w:lineRule="auto"/>
        <w:ind w:left="720"/>
      </w:pPr>
      <w:r/>
      <w:hyperlink r:id="rId13">
        <w:r>
          <w:rPr>
            <w:color w:val="0000EE"/>
            <w:u w:val="single"/>
          </w:rPr>
          <w:t>[3]</w:t>
        </w:r>
      </w:hyperlink>
      <w:r>
        <w:t xml:space="preserve"> (Business Wire) - Paragraph 3, Paragraph 4, Paragraph 6 </w:t>
      </w:r>
      <w:r/>
    </w:p>
    <w:p>
      <w:pPr>
        <w:pStyle w:val="ListBullet"/>
        <w:spacing w:line="240" w:lineRule="auto"/>
        <w:ind w:left="720"/>
      </w:pPr>
      <w:r/>
      <w:hyperlink r:id="rId10">
        <w:r>
          <w:rPr>
            <w:color w:val="0000EE"/>
            <w:u w:val="single"/>
          </w:rPr>
          <w:t>[5]</w:t>
        </w:r>
      </w:hyperlink>
      <w:r>
        <w:t xml:space="preserve"> (Investing.com) - Paragraph 2, Paragraph 5, Paragraph 6 </w:t>
      </w:r>
      <w:r/>
    </w:p>
    <w:p>
      <w:pPr>
        <w:pStyle w:val="ListBullet"/>
        <w:spacing w:line="240" w:lineRule="auto"/>
        <w:ind w:left="720"/>
      </w:pPr>
      <w:r/>
      <w:hyperlink r:id="rId11">
        <w:r>
          <w:rPr>
            <w:color w:val="0000EE"/>
            <w:u w:val="single"/>
          </w:rPr>
          <w:t>[6]</w:t>
        </w:r>
      </w:hyperlink>
      <w:r>
        <w:t xml:space="preserve"> (Nasdaq) - Paragraph 2, Paragraph 5, Paragraph 6 </w:t>
      </w:r>
      <w:r/>
    </w:p>
    <w:p>
      <w:pPr>
        <w:pStyle w:val="ListBullet"/>
        <w:spacing w:line="240" w:lineRule="auto"/>
        <w:ind w:left="720"/>
      </w:pPr>
      <w:r/>
      <w:hyperlink r:id="rId12">
        <w:r>
          <w:rPr>
            <w:color w:val="0000EE"/>
            <w:u w:val="single"/>
          </w:rPr>
          <w:t>[7]</w:t>
        </w:r>
      </w:hyperlink>
      <w:r>
        <w:t xml:space="preserve"> (National Law Review)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https://www.commercialriskonline.com/aig-and-amwins-launch-syndicate-at-lloyds/</w:t>
        </w:r>
      </w:hyperlink>
      <w:r>
        <w:t xml:space="preserve"> - Please view link - unable to able to access data</w:t>
      </w:r>
      <w:r/>
    </w:p>
    <w:p>
      <w:pPr>
        <w:pStyle w:val="ListNumber"/>
        <w:spacing w:line="240" w:lineRule="auto"/>
        <w:ind w:left="720"/>
      </w:pPr>
      <w:r/>
      <w:hyperlink r:id="rId9">
        <w:r>
          <w:rPr>
            <w:color w:val="0000EE"/>
            <w:u w:val="single"/>
          </w:rPr>
          <w:t>https://www.amwins.com/who-we-are/newsroom/amwins-and-aig-to-launch-syndicate-2479-at-lloyds</w:t>
        </w:r>
      </w:hyperlink>
      <w:r>
        <w:t xml:space="preserve"> - Amwins, a leading global distributor of specialty insurance products and services, has announced the launch of a joint venture with AIG and funds managed by Blackstone to form Syndicate 2479 at Lloyd's. This special purpose vehicle, managed by Talbot Underwriting Limited, is expected to support approximately $400 million in premium for 2026. The partnership aims to invest aligned capital alongside Amwins' multiline dedicated underwriting portfolio, facilitating the creation of new programs and building long-term sustainable capacity. Talbot's role as managing agent ensures strong governance and operational excellence from launch.</w:t>
      </w:r>
      <w:r/>
    </w:p>
    <w:p>
      <w:pPr>
        <w:pStyle w:val="ListNumber"/>
        <w:spacing w:line="240" w:lineRule="auto"/>
        <w:ind w:left="720"/>
      </w:pPr>
      <w:r/>
      <w:hyperlink r:id="rId13">
        <w:r>
          <w:rPr>
            <w:color w:val="0000EE"/>
            <w:u w:val="single"/>
          </w:rPr>
          <w:t>https://www.businesswire.com/news/home/20241213066292/en/AIG-Leads-Launch-of-Syndicate-2478-at-Lloyds-Through-Multi-Year-Blackstone-Strategic-Relationship</w:t>
        </w:r>
      </w:hyperlink>
      <w:r>
        <w:t xml:space="preserve"> - AIG has led the launch of Syndicate 2478 at Lloyd's, set to commence underwriting from January 1, 2025. Managed by Talbot Underwriting Limited, the syndicate has an approved stamp capacity of $715 million for the 2025 Year of Account. It is supported by third-party capital from funds managed by Blackstone through Lloyd's innovative London Bridge 2 PCC structure. The syndicate will source risk from AIG's diversified global property and casualty businesses, highlighting the strength of AIG's strategic relationships with Blackstone and Lloyd's.</w:t>
      </w:r>
      <w:r/>
    </w:p>
    <w:p>
      <w:pPr>
        <w:pStyle w:val="ListNumber"/>
        <w:spacing w:line="240" w:lineRule="auto"/>
        <w:ind w:left="720"/>
      </w:pPr>
      <w:r/>
      <w:hyperlink r:id="rId16">
        <w:r>
          <w:rPr>
            <w:color w:val="0000EE"/>
            <w:u w:val="single"/>
          </w:rPr>
          <w:t>https://www.lloyds.com/insights/media-centre/press-releases/aig-launches-new-syndicate-at-lloyds-for-the-us-high-net-worth-customer-segment</w:t>
        </w:r>
      </w:hyperlink>
      <w:r>
        <w:t xml:space="preserve"> - AIG has announced proposals to launch a new syndicate at Lloyd's serving the specialist U.S. high net worth market, effective January 1, 2020, subject to regulatory approval. Syndicate 2019 will be managed by Talbot Underwriting Limited and is expected to write up to $1 billion in gross written premiums. This initiative aims to provide additional products and holistic risk management solutions to AIG's Private Client Group clients, representing significant new business to the Lloyd's market and driving profitable growth for both Lloyd's and AIG.</w:t>
      </w:r>
      <w:r/>
    </w:p>
    <w:p>
      <w:pPr>
        <w:pStyle w:val="ListNumber"/>
        <w:spacing w:line="240" w:lineRule="auto"/>
        <w:ind w:left="720"/>
      </w:pPr>
      <w:r/>
      <w:hyperlink r:id="rId10">
        <w:r>
          <w:rPr>
            <w:color w:val="0000EE"/>
            <w:u w:val="single"/>
          </w:rPr>
          <w:t>https://www.investing.com/news/company-news/aig-amwins-and-blackstone-to-form-new-lloyds-syndicate-in-2026-93CH-4416313</w:t>
        </w:r>
      </w:hyperlink>
      <w:r>
        <w:t xml:space="preserve"> - AIG, Amwins, and funds managed by Blackstone have announced the formation of a new Lloyd's syndicate, Syndicate 2479, set to begin operations on January 1, 2026. The syndicate will underwrite $300 million in premiums, managed by AIG, and will reflect a broad and highly diversified cross-section of Amwins' approximately $6 billion in delegated authority premiums. AIG plans to leverage Palantir's Foundry platform and Large Language Model agents to enhance risk analysis and underwriting capabilities.</w:t>
      </w:r>
      <w:r/>
    </w:p>
    <w:p>
      <w:pPr>
        <w:pStyle w:val="ListNumber"/>
        <w:spacing w:line="240" w:lineRule="auto"/>
        <w:ind w:left="720"/>
      </w:pPr>
      <w:r/>
      <w:hyperlink r:id="rId11">
        <w:r>
          <w:rPr>
            <w:color w:val="0000EE"/>
            <w:u w:val="single"/>
          </w:rPr>
          <w:t>https://www.nasdaq.com/articles/aig-amwins-and-blackstone-launch-lloyds-syndicate-2479-backed-third-party-capital</w:t>
        </w:r>
      </w:hyperlink>
      <w:r>
        <w:t xml:space="preserve"> - AIG, in collaboration with Amwins and funds managed by Blackstone, has announced the formation of Syndicate 2479 at Lloyd's. This innovative structure brings together a specialty distributor, insurer, and Lloyd's syndicate backed by third-party capital. Beginning January 1, 2026, Syndicate 2479 will start underwriting $300 million in premiums, managed by AIG. The portfolio reflects a broad and highly diversified cross-section of Amwins' approximately $6 billion in delegated authority premiums. AIG utilized Palantir's Foundry platform to validate its detailed analysis of the portfolio.</w:t>
      </w:r>
      <w:r/>
    </w:p>
    <w:p>
      <w:pPr>
        <w:pStyle w:val="ListNumber"/>
        <w:spacing w:line="240" w:lineRule="auto"/>
        <w:ind w:left="720"/>
      </w:pPr>
      <w:r/>
      <w:hyperlink r:id="rId12">
        <w:r>
          <w:rPr>
            <w:color w:val="0000EE"/>
            <w:u w:val="single"/>
          </w:rPr>
          <w:t>https://natlawreview.com/press-releases/amwins-and-aig-launch-syndicate-2479-lloyds</w:t>
        </w:r>
      </w:hyperlink>
      <w:r>
        <w:t xml:space="preserve"> - Amwins, a leading global distributor of specialty insurance products and services, has announced the launch of a joint venture with AIG and funds managed by Blackstone to form Syndicate 2479 at Lloyd's. This special purpose vehicle, managed by Talbot Underwriting Limited, is expected to support approximately $400 million in premium for 2026. The partnership aims to invest aligned capital alongside Amwins' multiline dedicated underwriting portfolio, facilitating the creation of new programs and building long-term sustainable capacity. Talbot's role as managing agent ensures strong governance and operational excellence from launch.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wins.com/who-we-are/newsroom/amwins-and-aig-to-launch-syndicate-2479-at-lloyds" TargetMode="External"/><Relationship Id="rId10" Type="http://schemas.openxmlformats.org/officeDocument/2006/relationships/hyperlink" Target="https://www.investing.com/news/company-news/aig-amwins-and-blackstone-to-form-new-lloyds-syndicate-in-2026-93CH-4416313" TargetMode="External"/><Relationship Id="rId11" Type="http://schemas.openxmlformats.org/officeDocument/2006/relationships/hyperlink" Target="https://www.nasdaq.com/articles/aig-amwins-and-blackstone-launch-lloyds-syndicate-2479-backed-third-party-capital" TargetMode="External"/><Relationship Id="rId12" Type="http://schemas.openxmlformats.org/officeDocument/2006/relationships/hyperlink" Target="https://natlawreview.com/press-releases/amwins-and-aig-launch-syndicate-2479-lloyds" TargetMode="External"/><Relationship Id="rId13" Type="http://schemas.openxmlformats.org/officeDocument/2006/relationships/hyperlink" Target="https://www.businesswire.com/news/home/20241213066292/en/AIG-Leads-Launch-of-Syndicate-2478-at-Lloyds-Through-Multi-Year-Blackstone-Strategic-Relationship" TargetMode="External"/><Relationship Id="rId14" Type="http://schemas.openxmlformats.org/officeDocument/2006/relationships/hyperlink" Target="https://www.commercialriskonline.com/aig-and-amwins-launch-syndicate-at-lloyds/" TargetMode="External"/><Relationship Id="rId15" Type="http://schemas.openxmlformats.org/officeDocument/2006/relationships/hyperlink" Target="https://www.noahwire.com" TargetMode="External"/><Relationship Id="rId16" Type="http://schemas.openxmlformats.org/officeDocument/2006/relationships/hyperlink" Target="https://www.lloyds.com/insights/media-centre/press-releases/aig-launches-new-syndicate-at-lloyds-for-the-us-high-net-worth-customer-seg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