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Payments evolve into an always-on operating system driven by AI and seamless commerce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If there was a single through line in PYMNTS’ 2025 conversations with card networks, banks and FinTechs, it was that “payments” is no longer treated as a discrete function but is being positioned as an always-on operating system for commerce, one where data, security and user experience are inseparable. According to PYMNTS, Visa, Mastercard, Discover, American Express and a range of banks and processors framed their 2025 strategies around this shift, describing payments as an orchestration layer that must deliver consistency across channels and continuous risk and liquidity management. </w:t>
      </w:r>
      <w:hyperlink r:id="rId9">
        <w:r>
          <w:rPr>
            <w:color w:val="0000EE"/>
            <w:u w:val="single"/>
          </w:rPr>
          <w:t>[1]</w:t>
        </w:r>
      </w:hyperlink>
      <w:hyperlink r:id="rId9">
        <w:r>
          <w:rPr>
            <w:color w:val="0000EE"/>
            <w:u w:val="single"/>
          </w:rPr>
          <w:t>[2]</w:t>
        </w:r>
      </w:hyperlink>
      <w:r/>
    </w:p>
    <w:p>
      <w:r/>
      <w:r>
        <w:t xml:space="preserve">Visa pushed that framing hardest, treating generative AI as a pervasive force across network services rather than an add-on. As Sam Hamilton, Visa’s head of AI and data, told PYMNTS, “I can’t think of one area that GenAI is not going to transform,” while stressing that the usefulness of that transformation depends on trusted inputs and governance. Visa’s public materials back this up: the company has published a whitepaper on Agentic AI and launched multiple initiatives, a $100 million generative AI ventures fund and an AI Advisory Practice, to accelerate secure, AI-enabled commerce. According to Visa, these moves reflect both investment in infrastructure and an explicit effort to govern agentic decisioning within consent, privacy and spending limits. </w:t>
      </w:r>
      <w:hyperlink r:id="rId9">
        <w:r>
          <w:rPr>
            <w:color w:val="0000EE"/>
            <w:u w:val="single"/>
          </w:rPr>
          <w:t>[1]</w:t>
        </w:r>
      </w:hyperlink>
      <w:hyperlink r:id="rId10">
        <w:r>
          <w:rPr>
            <w:color w:val="0000EE"/>
            <w:u w:val="single"/>
          </w:rPr>
          <w:t>[4]</w:t>
        </w:r>
      </w:hyperlink>
      <w:hyperlink r:id="rId11">
        <w:r>
          <w:rPr>
            <w:color w:val="0000EE"/>
            <w:u w:val="single"/>
          </w:rPr>
          <w:t>[5]</w:t>
        </w:r>
      </w:hyperlink>
      <w:hyperlink r:id="rId12">
        <w:r>
          <w:rPr>
            <w:color w:val="0000EE"/>
            <w:u w:val="single"/>
          </w:rPr>
          <w:t>[6]</w:t>
        </w:r>
      </w:hyperlink>
      <w:r/>
    </w:p>
    <w:p>
      <w:r/>
      <w:r>
        <w:t xml:space="preserve">Visa’s commercial message this year centred on “unified commerce”, removing operational seams so pricing, inventory, fulfilment and payments reliably line up whether the sale is decided on a phone or completed in store. PYMNTS quoted Visa Acceptance Solutions’ Matt Swatzell noting that merchants often underestimate that the decision can happen on a phone even when the sale is in-store, raising the bar for cross-channel consistency. Visa argues smaller merchants cannot out-scale retail giants but can collapse complexity to respond faster, and the company has announced pilot activity showing agent-initiated, secure transactions as part of that roadmap. </w:t>
      </w:r>
      <w:hyperlink r:id="rId9">
        <w:r>
          <w:rPr>
            <w:color w:val="0000EE"/>
            <w:u w:val="single"/>
          </w:rPr>
          <w:t>[1]</w:t>
        </w:r>
      </w:hyperlink>
      <w:hyperlink r:id="rId10">
        <w:r>
          <w:rPr>
            <w:color w:val="0000EE"/>
            <w:u w:val="single"/>
          </w:rPr>
          <w:t>[4]</w:t>
        </w:r>
      </w:hyperlink>
      <w:hyperlink r:id="rId13">
        <w:r>
          <w:rPr>
            <w:color w:val="0000EE"/>
            <w:u w:val="single"/>
          </w:rPr>
          <w:t>[7]</w:t>
        </w:r>
      </w:hyperlink>
      <w:r/>
    </w:p>
    <w:p>
      <w:r/>
      <w:r>
        <w:t xml:space="preserve">Mastercard approached the era from a consumer-control and middle-market toolkit angle. According to Mastercard, its One Credential solution gives consumers a single digital credential able to present debit, credit, instalments and prepaid options so users can tailor payment preferences by expense and context. Bunita Sawhney, Mastercard’s chief consumer product officer, told PYMNTS that many consumers “have a high desire to have tools that help them become strong and confident money managers.” On the B2B side, Mastercard executives emphasised underwriting and richer data to address gaps in middle-market financing. </w:t>
      </w:r>
      <w:hyperlink r:id="rId9">
        <w:r>
          <w:rPr>
            <w:color w:val="0000EE"/>
            <w:u w:val="single"/>
          </w:rPr>
          <w:t>[1]</w:t>
        </w:r>
      </w:hyperlink>
      <w:hyperlink r:id="rId14">
        <w:r>
          <w:rPr>
            <w:color w:val="0000EE"/>
            <w:u w:val="single"/>
          </w:rPr>
          <w:t>[3]</w:t>
        </w:r>
      </w:hyperlink>
      <w:r/>
    </w:p>
    <w:p>
      <w:r/>
      <w:r>
        <w:t xml:space="preserve">Discover and American Express emphasised different balances between automation and judgment. Discover executives argued AI’s greatest benefit is turning transaction data into network-level visibility and faster decisioning, with direct gains for fraud reduction and speed. American Express framed AI as a tool to reduce internal friction while preserving human judgement: in comments reported by PYMNTS, Gary Kensey said “AI should work in service of people, not instead of them,” reflecting Amex’s intent to automate summaries and routing but keep humans available where customers need reassurance. </w:t>
      </w:r>
      <w:hyperlink r:id="rId9">
        <w:r>
          <w:rPr>
            <w:color w:val="0000EE"/>
            <w:u w:val="single"/>
          </w:rPr>
          <w:t>[1]</w:t>
        </w:r>
      </w:hyperlink>
      <w:r/>
    </w:p>
    <w:p>
      <w:r/>
      <w:r>
        <w:t xml:space="preserve">Banks described payments as an operational imperative that reshapes treasury, supply chains and even cash logistics. Citi’s global head of liquidity management services, Stephen Randall, described a move to continuous, round-the-clock liquidity management rather than once-a-day processes. Bank of America tied its payments work into trade finance, tariffs and risk mitigation, while Fifth Third Bank highlighted why physical cash handling still matters and why automation in cash logistics is both a security and productivity issue. HSBC’s Andrew Fullam characterised the environment bluntly: “Uncertainty is probably the key word here,” pointing to tariff complexity and planning challenges. </w:t>
      </w:r>
      <w:hyperlink r:id="rId9">
        <w:r>
          <w:rPr>
            <w:color w:val="0000EE"/>
            <w:u w:val="single"/>
          </w:rPr>
          <w:t>[1]</w:t>
        </w:r>
      </w:hyperlink>
      <w:r/>
    </w:p>
    <w:p>
      <w:r/>
      <w:r>
        <w:t xml:space="preserve">Processors and FinTechs signalled that speed and responsibility must be pursued together. Maverick Payments told PYMNTS that real-time fraud and bank oversight are “an artful balancing act,” arguing processors increasingly act as risk-and-compliance extensions of banks. Ingo Payments warned that treating instant payouts as a mere checkbox risks commoditisation and margin erosion, while other FinTechs told PYMNTS they are pivoting to partnership structures that reflect a more disciplined, risk-aware market. </w:t>
      </w:r>
      <w:hyperlink r:id="rId9">
        <w:r>
          <w:rPr>
            <w:color w:val="0000EE"/>
            <w:u w:val="single"/>
          </w:rPr>
          <w:t>[1]</w:t>
        </w:r>
      </w:hyperlink>
      <w:r/>
    </w:p>
    <w:p>
      <w:r/>
      <w:r>
        <w:t xml:space="preserve">Taken together, the industry’s public statements and PYMNTS interviews sketch a payments ecosystem remade by AI, tighter governance and an expectation of continuous service. Visa’s investments and whitepapers make explicit claims about agentic commerce and a multibillion-dollar market opportunity, Mastercard is rolling consumer-facing credential innovations, banks are rewiring treasury and trade mechanics, and processors warn that speed without aligned economics invites a race to the bottom. The result is an industry betting that payments will increasingly act as an always-on commerce operating system, if companies can pair technological ambition with governance, data quality and sensible economics. </w:t>
      </w:r>
      <w:hyperlink r:id="rId9">
        <w:r>
          <w:rPr>
            <w:color w:val="0000EE"/>
            <w:u w:val="single"/>
          </w:rPr>
          <w:t>[1]</w:t>
        </w:r>
      </w:hyperlink>
      <w:hyperlink r:id="rId10">
        <w:r>
          <w:rPr>
            <w:color w:val="0000EE"/>
            <w:u w:val="single"/>
          </w:rPr>
          <w:t>[4]</w:t>
        </w:r>
      </w:hyperlink>
      <w:hyperlink r:id="rId11">
        <w:r>
          <w:rPr>
            <w:color w:val="0000EE"/>
            <w:u w:val="single"/>
          </w:rPr>
          <w:t>[5]</w:t>
        </w:r>
      </w:hyperlink>
      <w:hyperlink r:id="rId12">
        <w:r>
          <w:rPr>
            <w:color w:val="0000EE"/>
            <w:u w:val="single"/>
          </w:rPr>
          <w:t>[6]</w:t>
        </w:r>
      </w:hyperlink>
      <w:hyperlink r:id="rId14">
        <w:r>
          <w:rPr>
            <w:color w:val="0000EE"/>
            <w:u w:val="single"/>
          </w:rPr>
          <w:t>[3]</w:t>
        </w:r>
      </w:hyperlink>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(PYMNTS) - Paragraph 1, Paragraph 2, Paragraph 3, Paragraph 4, Paragraph 5, Paragraph 6, Paragraph 7, Paragraph 8 </w:t>
      </w:r>
      <w:r/>
    </w:p>
    <w:p>
      <w:pPr>
        <w:pStyle w:val="ListBullet"/>
        <w:spacing w:line="240" w:lineRule="auto"/>
        <w:ind w:left="720"/>
      </w:pPr>
      <w:r/>
      <w:hyperlink r:id="rId9">
        <w:r>
          <w:rPr>
            <w:color w:val="0000EE"/>
            <w:u w:val="single"/>
          </w:rPr>
          <w:t>[2]</w:t>
        </w:r>
      </w:hyperlink>
      <w:r>
        <w:t xml:space="preserve"> (PYMNTS summary) - Paragraph 1 </w:t>
      </w:r>
      <w:r/>
    </w:p>
    <w:p>
      <w:pPr>
        <w:pStyle w:val="ListBullet"/>
        <w:spacing w:line="240" w:lineRule="auto"/>
        <w:ind w:left="720"/>
      </w:pPr>
      <w:r/>
      <w:hyperlink r:id="rId14">
        <w:r>
          <w:rPr>
            <w:color w:val="0000EE"/>
            <w:u w:val="single"/>
          </w:rPr>
          <w:t>[3]</w:t>
        </w:r>
      </w:hyperlink>
      <w:r>
        <w:t xml:space="preserve"> (Mastercard press release) - Paragraph 4 </w:t>
      </w:r>
      <w:r/>
    </w:p>
    <w:p>
      <w:pPr>
        <w:pStyle w:val="ListBullet"/>
        <w:spacing w:line="240" w:lineRule="auto"/>
        <w:ind w:left="720"/>
      </w:pPr>
      <w:r/>
      <w:hyperlink r:id="rId10">
        <w:r>
          <w:rPr>
            <w:color w:val="0000EE"/>
            <w:u w:val="single"/>
          </w:rPr>
          <w:t>[4]</w:t>
        </w:r>
      </w:hyperlink>
      <w:r>
        <w:t xml:space="preserve"> (Visa whitepaper press release) - Paragraph 2, Paragraph 3, Paragraph 8 </w:t>
      </w:r>
      <w:r/>
    </w:p>
    <w:p>
      <w:pPr>
        <w:pStyle w:val="ListBullet"/>
        <w:spacing w:line="240" w:lineRule="auto"/>
        <w:ind w:left="720"/>
      </w:pPr>
      <w:r/>
      <w:hyperlink r:id="rId11">
        <w:r>
          <w:rPr>
            <w:color w:val="0000EE"/>
            <w:u w:val="single"/>
          </w:rPr>
          <w:t>[5]</w:t>
        </w:r>
      </w:hyperlink>
      <w:r>
        <w:t xml:space="preserve"> (Visa $100m initiative press release) - Paragraph 2, Paragraph 8 </w:t>
      </w:r>
      <w:r/>
    </w:p>
    <w:p>
      <w:pPr>
        <w:pStyle w:val="ListBullet"/>
        <w:spacing w:line="240" w:lineRule="auto"/>
        <w:ind w:left="720"/>
      </w:pPr>
      <w:r/>
      <w:hyperlink r:id="rId12">
        <w:r>
          <w:rPr>
            <w:color w:val="0000EE"/>
            <w:u w:val="single"/>
          </w:rPr>
          <w:t>[6]</w:t>
        </w:r>
      </w:hyperlink>
      <w:r>
        <w:t xml:space="preserve"> (Visa AI Advisory Practice press release) - Paragraph 2, Paragraph 8 </w:t>
      </w:r>
      <w:r/>
    </w:p>
    <w:p>
      <w:pPr>
        <w:pStyle w:val="ListBullet"/>
        <w:spacing w:line="240" w:lineRule="auto"/>
        <w:ind w:left="720"/>
      </w:pPr>
      <w:r/>
      <w:hyperlink r:id="rId13">
        <w:r>
          <w:rPr>
            <w:color w:val="0000EE"/>
            <w:u w:val="single"/>
          </w:rPr>
          <w:t>[7]</w:t>
        </w:r>
      </w:hyperlink>
      <w:r>
        <w:t xml:space="preserve"> (Visa agent‑initiated transactions press release) - Paragraph 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https://www.pymnts.com/connectedeconomy/2025/in-2025-card-networks-reshaped-commerce-while-banks-rewired-payments/</w:t>
        </w:r>
      </w:hyperlink>
      <w:r>
        <w:t xml:space="preserve"> - Please view link - unable to able to access data</w:t>
      </w:r>
      <w:r/>
    </w:p>
    <w:p>
      <w:pPr>
        <w:pStyle w:val="ListNumber"/>
        <w:spacing w:line="240" w:lineRule="auto"/>
        <w:ind w:left="720"/>
      </w:pPr>
      <w:r/>
      <w:hyperlink r:id="rId9">
        <w:r>
          <w:rPr>
            <w:color w:val="0000EE"/>
            <w:u w:val="single"/>
          </w:rPr>
          <w:t>https://www.pymnts.com/connectedeconomy/2025/in-2025-card-networks-reshaped-commerce-while-banks-rewired-payments/</w:t>
        </w:r>
      </w:hyperlink>
      <w:r>
        <w:t xml:space="preserve"> - In 2025, major card networks, banks, and FinTechs have redefined payments as an always-on operating system for commerce, integrating data, security, and user experience. Visa's head of AI and data, Sam Hamilton, emphasized that generative AI will transform all areas of the network's value proposition, provided there is trusted input and governance. Visa's focus on 'unified commerce' aims to remove operational seams between in-store and online experiences, checkout and post-purchase services, and payment acceptance and fraud defense, enabling smaller merchants to compete by reducing complexity and responding faster.</w:t>
      </w:r>
      <w:r/>
    </w:p>
    <w:p>
      <w:pPr>
        <w:pStyle w:val="ListNumber"/>
        <w:spacing w:line="240" w:lineRule="auto"/>
        <w:ind w:left="720"/>
      </w:pPr>
      <w:r/>
      <w:hyperlink r:id="rId14">
        <w:r>
          <w:rPr>
            <w:color w:val="0000EE"/>
            <w:u w:val="single"/>
          </w:rPr>
          <w:t>https://www.mastercard.com/us/en/news-and-trends/press/2025/february/consumers-demand-more-choice-and-control-over-how-they-check-out.html</w:t>
        </w:r>
      </w:hyperlink>
      <w:r>
        <w:t xml:space="preserve"> - Mastercard's 'One Credential' solution empowers consumers with a single digital credential offering multiple payment options, including debit, credit, installments, and prepaid. This innovation allows users to tailor payment preferences for different expenses, providing a seamless digital experience. Chief Product Officer Jorn Lambert highlighted that consumers expect to be in control, and 'One Credential' offers a personalized way to pay, catering to the desire for choice and control in payment methods.</w:t>
      </w:r>
      <w:r/>
    </w:p>
    <w:p>
      <w:pPr>
        <w:pStyle w:val="ListNumber"/>
        <w:spacing w:line="240" w:lineRule="auto"/>
        <w:ind w:left="720"/>
      </w:pPr>
      <w:r/>
      <w:hyperlink r:id="rId10">
        <w:r>
          <w:rPr>
            <w:color w:val="0000EE"/>
            <w:u w:val="single"/>
          </w:rPr>
          <w:t>https://www.visa.co.in/about-visa/newsroom/press-releases/visa-launches-whitepaper-on-agentic-ai-and-the-next-era-of-autonomous-commerce-at-global-fintech-fest-2025.html</w:t>
        </w:r>
      </w:hyperlink>
      <w:r>
        <w:t xml:space="preserve"> - Visa's whitepaper, 'Automation to Autonomy: How Agentic AI is Revolutionizing Payments,' explores the impact of Agentic AI on commerce, projecting a $175 billion market by 2030. The paper discusses how AI agents can anticipate needs, make decisions, and execute transactions within consent, security, and spending limits. It emphasizes the importance of trust and privacy in AI-driven commerce and outlines Visa's efforts to build a secure and scalable AI commerce future through its Intelligent Commerce platform.</w:t>
      </w:r>
      <w:r/>
    </w:p>
    <w:p>
      <w:pPr>
        <w:pStyle w:val="ListNumber"/>
        <w:spacing w:line="240" w:lineRule="auto"/>
        <w:ind w:left="720"/>
      </w:pPr>
      <w:r/>
      <w:hyperlink r:id="rId11">
        <w:r>
          <w:rPr>
            <w:color w:val="0000EE"/>
            <w:u w:val="single"/>
          </w:rPr>
          <w:t>https://www.visa.com/about-visa/newsroom/press-releases.releaseId.19986.html</w:t>
        </w:r>
      </w:hyperlink>
      <w:r>
        <w:t xml:space="preserve"> - Visa announced a $100 million generative AI ventures initiative to invest in companies developing AI technologies impacting commerce and payments. As a pioneer in AI use since 1993, Visa aims to extend its leadership by supporting the next generation of AI applications. Chief Product and Strategy Officer Jack Forestell noted that generative AI will soon reshape commerce, and Visa's initiative seeks to understand and drive this transformation.</w:t>
      </w:r>
      <w:r/>
    </w:p>
    <w:p>
      <w:pPr>
        <w:pStyle w:val="ListNumber"/>
        <w:spacing w:line="240" w:lineRule="auto"/>
        <w:ind w:left="720"/>
      </w:pPr>
      <w:r/>
      <w:hyperlink r:id="rId12">
        <w:r>
          <w:rPr>
            <w:color w:val="0000EE"/>
            <w:u w:val="single"/>
          </w:rPr>
          <w:t>https://www.visa.com/about-visa/newsroom/press-releases.releaseId.20076.html</w:t>
        </w:r>
      </w:hyperlink>
      <w:r>
        <w:t xml:space="preserve"> - Visa launched its AI Advisory Practice, a value-added service by Visa Consulting &amp; Analytics, focusing on providing actionable insights to help clients unlock the potential of AI and generative AI. Over the past decade, Visa has invested more than $3 billion in AI and data infrastructure to enhance secure, seamless transactions and proactively prevent fraud, with the new practice aiming to further drive growth and innovation for clients.</w:t>
      </w:r>
      <w:r/>
    </w:p>
    <w:p>
      <w:pPr>
        <w:pStyle w:val="ListNumber"/>
        <w:spacing w:line="240" w:lineRule="auto"/>
        <w:ind w:left="720"/>
      </w:pPr>
      <w:r/>
      <w:hyperlink r:id="rId13">
        <w:r>
          <w:rPr>
            <w:color w:val="0000EE"/>
            <w:u w:val="single"/>
          </w:rPr>
          <w:t>https://www.visa.com/about-visa/newsroom/press-releases.releaseId.21961.html</w:t>
        </w:r>
      </w:hyperlink>
      <w:r>
        <w:t xml:space="preserve"> - Visa and partners have completed hundreds of secure, agent-initiated transactions, marking a significant milestone in AI-powered commerce. This development indicates that by 2026, AI agents will not only assist in shopping but will autonomously complete purchases, powered by Visa's global scale and commitment to secure agentic commerce. The initiative involves collaboration with over 100 partners worldwide, including AI companies and merchants, to deliver secure, personalized AI-enabled commerce to consumers.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ymnts.com/connectedeconomy/2025/in-2025-card-networks-reshaped-commerce-while-banks-rewired-payments/" TargetMode="External"/><Relationship Id="rId10" Type="http://schemas.openxmlformats.org/officeDocument/2006/relationships/hyperlink" Target="https://www.visa.co.in/about-visa/newsroom/press-releases/visa-launches-whitepaper-on-agentic-ai-and-the-next-era-of-autonomous-commerce-at-global-fintech-fest-2025.html" TargetMode="External"/><Relationship Id="rId11" Type="http://schemas.openxmlformats.org/officeDocument/2006/relationships/hyperlink" Target="https://www.visa.com/about-visa/newsroom/press-releases.releaseId.19986.html" TargetMode="External"/><Relationship Id="rId12" Type="http://schemas.openxmlformats.org/officeDocument/2006/relationships/hyperlink" Target="https://www.visa.com/about-visa/newsroom/press-releases.releaseId.20076.html" TargetMode="External"/><Relationship Id="rId13" Type="http://schemas.openxmlformats.org/officeDocument/2006/relationships/hyperlink" Target="https://www.visa.com/about-visa/newsroom/press-releases.releaseId.21961.html" TargetMode="External"/><Relationship Id="rId14" Type="http://schemas.openxmlformats.org/officeDocument/2006/relationships/hyperlink" Target="https://www.mastercard.com/us/en/news-and-trends/press/2025/february/consumers-demand-more-choice-and-control-over-how-they-check-out.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