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Connected insurance accelerates shift from payouts to real-time risk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Insurance has long been a business of static snapshots , application forms, prior claims records and demographic aggregates , but the proliferation of Internet of Things (IoT) devices is turning that model into a continuous, dynamic flow of real‑world data that insurers can use across underwriting, pricing, loss prevention and claims settlement. According to the original report on connected insurance, streams from cars, homes, factories, wearables and public data sources enable more accurate risk pricing, faster claims handling and new usage‑based and parametric products.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At the centre of this shift is a simple reframing: insurance moves from retrospective actuarial tables toward real‑time risk management. Industry data shows telematics, smart‑home sensors, industrial IoT, wearables and satellite feeds are being integrated into the full policy lifecycle , from risk selection to customer engagement , enabling insurers to offer pay‑as‑you‑drive, pay‑how‑you‑drive and other usage‑based models as well as prevention and advisory services rather than solely payouts. </w:t>
      </w:r>
      <w:hyperlink r:id="rId9">
        <w:r>
          <w:rPr>
            <w:color w:val="0000EE"/>
            <w:u w:val="single"/>
          </w:rPr>
          <w:t>[1]</w:t>
        </w:r>
      </w:hyperlink>
      <w:hyperlink r:id="rId10">
        <w:r>
          <w:rPr>
            <w:color w:val="0000EE"/>
            <w:u w:val="single"/>
          </w:rPr>
          <w:t>[2]</w:t>
        </w:r>
      </w:hyperlink>
      <w:hyperlink r:id="rId12">
        <w:r>
          <w:rPr>
            <w:color w:val="0000EE"/>
            <w:u w:val="single"/>
          </w:rPr>
          <w:t>[3]</w:t>
        </w:r>
      </w:hyperlink>
      <w:r/>
    </w:p>
    <w:p>
      <w:r/>
      <w:r>
        <w:t xml:space="preserve">Personal lines illustrate the consumer benefit and complexity of that transition. Smart‑home devices such as leak detectors, smart shut‑off valves, smoke and CO sensors, and cameras allow for automatic loss prevention, remote claims validation and discounts for device adopters, while wearables and remote‑health devices support wellness programmes, chronic‑disease monitoring and dynamic risk scoring , subject to consent and privacy controls, industry observers note. </w:t>
      </w:r>
      <w:hyperlink r:id="rId9">
        <w:r>
          <w:rPr>
            <w:color w:val="0000EE"/>
            <w:u w:val="single"/>
          </w:rPr>
          <w:t>[1]</w:t>
        </w:r>
      </w:hyperlink>
      <w:hyperlink r:id="rId12">
        <w:r>
          <w:rPr>
            <w:color w:val="0000EE"/>
            <w:u w:val="single"/>
          </w:rPr>
          <w:t>[3]</w:t>
        </w:r>
      </w:hyperlink>
      <w:hyperlink r:id="rId13">
        <w:r>
          <w:rPr>
            <w:color w:val="0000EE"/>
            <w:u w:val="single"/>
          </w:rPr>
          <w:t>[6]</w:t>
        </w:r>
      </w:hyperlink>
      <w:r/>
    </w:p>
    <w:p>
      <w:r/>
      <w:r>
        <w:t xml:space="preserve">Commercial and industrial uses amplify scale and systemic considerations. Smart‑building systems, IIoT condition monitoring, and connected supply chains let insurers refine catastrophe models, offer preventive maintenance programmes with OEMs, and develop parametric covers tied to downtime metrics or environmental indices. The PwC analysis highlights that these capabilities also create opportunities for insurers to sell advisory services and device‑bundles, moving from indemnifiers to risk‑engineering partners. </w:t>
      </w:r>
      <w:hyperlink r:id="rId9">
        <w:r>
          <w:rPr>
            <w:color w:val="0000EE"/>
            <w:u w:val="single"/>
          </w:rPr>
          <w:t>[1]</w:t>
        </w:r>
      </w:hyperlink>
      <w:hyperlink r:id="rId11">
        <w:r>
          <w:rPr>
            <w:color w:val="0000EE"/>
            <w:u w:val="single"/>
          </w:rPr>
          <w:t>[4]</w:t>
        </w:r>
      </w:hyperlink>
      <w:r/>
    </w:p>
    <w:p>
      <w:r/>
      <w:r>
        <w:t xml:space="preserve">Transportation remains among the most mature sectors. Telematics delivers high‑frequency driving data for PAYD and PHYD products, enables on‑demand micro‑coverage for car‑sharing and fleets, and accelerates FNOL and claims triage through automatic crash detection and sensor logs. Reports from telematics specialists confirm that fleet optimisation, cargo‑condition monitoring and geofencing are reducing loss frequency while allowing insurers to differentiate pricing by vehicle, driver and route. </w:t>
      </w:r>
      <w:hyperlink r:id="rId9">
        <w:r>
          <w:rPr>
            <w:color w:val="0000EE"/>
            <w:u w:val="single"/>
          </w:rPr>
          <w:t>[1]</w:t>
        </w:r>
      </w:hyperlink>
      <w:hyperlink r:id="rId12">
        <w:r>
          <w:rPr>
            <w:color w:val="0000EE"/>
            <w:u w:val="single"/>
          </w:rPr>
          <w:t>[3]</w:t>
        </w:r>
      </w:hyperlink>
      <w:hyperlink r:id="rId14">
        <w:r>
          <w:rPr>
            <w:color w:val="0000EE"/>
            <w:u w:val="single"/>
          </w:rPr>
          <w:t>[7]</w:t>
        </w:r>
      </w:hyperlink>
      <w:r/>
    </w:p>
    <w:p>
      <w:r/>
      <w:r>
        <w:t xml:space="preserve">Parametric insurance , automatic payouts triggered by measurable external parameters , is an especially powerful use case where IoT strengthens trust in triggers and speeds settlement. Weather gauges, river‑level sensors, soil‑moisture arrays and satellite indices are creating faster, lower‑cost solutions for flood, crop, wind and business‑interruption exposures, according to sector studies. </w:t>
      </w:r>
      <w:hyperlink r:id="rId9">
        <w:r>
          <w:rPr>
            <w:color w:val="0000EE"/>
            <w:u w:val="single"/>
          </w:rPr>
          <w:t>[1]</w:t>
        </w:r>
      </w:hyperlink>
      <w:hyperlink r:id="rId10">
        <w:r>
          <w:rPr>
            <w:color w:val="0000EE"/>
            <w:u w:val="single"/>
          </w:rPr>
          <w:t>[2]</w:t>
        </w:r>
      </w:hyperlink>
      <w:hyperlink r:id="rId14">
        <w:r>
          <w:rPr>
            <w:color w:val="0000EE"/>
            <w:u w:val="single"/>
          </w:rPr>
          <w:t>[7]</w:t>
        </w:r>
      </w:hyperlink>
      <w:r/>
    </w:p>
    <w:p>
      <w:r/>
      <w:r>
        <w:t xml:space="preserve">The enabling stack spans devices and connectivity, through data platforms and AI, to applications and governance. Practical deployments rely on secure device provisioning, cellular or LPWAN connectivity, time‑series and object storage, streaming ingestion, model‑management and MLOps for real‑time scoring , all governed by consent frameworks and privacy regulation such as GDPR or sector equivalents. Analysts emphasise that security by design and robust data governance are prerequisites for scaling connected‑insurance programmes.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Business‑model innovation follows: embedded insurance at the point of service (car‑sharing, smart‑home platforms), subscription advisory services, dynamic limits and deductibles, and blended revenue from premiums and services. Market reports show insurers experimenting with white‑label platforms or partnering with IoT vendors and telecoms, weighing build versus buy and negotiating data‑sharing arrangements to balance customer value against operational complexity. </w:t>
      </w:r>
      <w:hyperlink r:id="rId9">
        <w:r>
          <w:rPr>
            <w:color w:val="0000EE"/>
            <w:u w:val="single"/>
          </w:rPr>
          <w:t>[1]</w:t>
        </w:r>
      </w:hyperlink>
      <w:hyperlink r:id="rId12">
        <w:r>
          <w:rPr>
            <w:color w:val="0000EE"/>
            <w:u w:val="single"/>
          </w:rPr>
          <w:t>[3]</w:t>
        </w:r>
      </w:hyperlink>
      <w:hyperlink r:id="rId11">
        <w:r>
          <w:rPr>
            <w:color w:val="0000EE"/>
            <w:u w:val="single"/>
          </w:rPr>
          <w:t>[4]</w:t>
        </w:r>
      </w:hyperlink>
      <w:r/>
    </w:p>
    <w:p>
      <w:r/>
      <w:r>
        <w:t xml:space="preserve">Yet adoption is not frictionless. Key challenges include privacy and consent, cyber‑risk aggregation where compromised devices create correlated exposures, data quality and bias that can distort scoring, and the need to build trust among customers, brokers and regulators. The Digital Insurer and other commentators warn that opaque scoring or poor UX can undermine telematics programmes, so clear communication of benefits and transparent governance are vital. </w:t>
      </w:r>
      <w:hyperlink r:id="rId10">
        <w:r>
          <w:rPr>
            <w:color w:val="0000EE"/>
            <w:u w:val="single"/>
          </w:rPr>
          <w:t>[2]</w:t>
        </w:r>
      </w:hyperlink>
      <w:hyperlink r:id="rId14">
        <w:r>
          <w:rPr>
            <w:color w:val="0000EE"/>
            <w:u w:val="single"/>
          </w:rPr>
          <w:t>[7]</w:t>
        </w:r>
      </w:hyperlink>
      <w:hyperlink r:id="rId13">
        <w:r>
          <w:rPr>
            <w:color w:val="0000EE"/>
            <w:u w:val="single"/>
          </w:rPr>
          <w:t>[6]</w:t>
        </w:r>
      </w:hyperlink>
      <w:r/>
    </w:p>
    <w:p>
      <w:r/>
      <w:r>
        <w:t xml:space="preserve">A pragmatic implementation roadmap recommended by practitioners begins with strategic use‑case prioritisation, partner selection, data‑platform foundations, controlled pilots with measurable KPIs, and industrialisation through process automation and integration with reinsurance and capital models. Pilot learning loops , focused on loss ratios, engagement and operational metrics , are essential before broad rollout. </w:t>
      </w:r>
      <w:hyperlink r:id="rId9">
        <w:r>
          <w:rPr>
            <w:color w:val="0000EE"/>
            <w:u w:val="single"/>
          </w:rPr>
          <w:t>[1]</w:t>
        </w:r>
      </w:hyperlink>
      <w:hyperlink r:id="rId11">
        <w:r>
          <w:rPr>
            <w:color w:val="0000EE"/>
            <w:u w:val="single"/>
          </w:rPr>
          <w:t>[4]</w:t>
        </w:r>
      </w:hyperlink>
      <w:hyperlink r:id="rId14">
        <w:r>
          <w:rPr>
            <w:color w:val="0000EE"/>
            <w:u w:val="single"/>
          </w:rPr>
          <w:t>[7]</w:t>
        </w:r>
      </w:hyperlink>
      <w:r/>
    </w:p>
    <w:p>
      <w:r/>
      <w:r>
        <w:t xml:space="preserve">Ultimately, connected insurance promises to shift the sector from payouts to prevention, creating fairer, more personalised products and faster, more transparent claims experiences while supporting resilience and sustainability goals. The original guide and subsequent industry reports converge on one point: organisations that combine responsible data use, strong governance and clear customer value propositions will be best placed to shape the next phase of insurance. </w:t>
      </w:r>
      <w:hyperlink r:id="rId9">
        <w:r>
          <w:rPr>
            <w:color w:val="0000EE"/>
            <w:u w:val="single"/>
          </w:rPr>
          <w:t>[1]</w:t>
        </w:r>
      </w:hyperlink>
      <w:hyperlink r:id="rId10">
        <w:r>
          <w:rPr>
            <w:color w:val="0000EE"/>
            <w:u w:val="single"/>
          </w:rPr>
          <w:t>[2]</w:t>
        </w:r>
      </w:hyperlink>
      <w:hyperlink r:id="rId11">
        <w:r>
          <w:rPr>
            <w:color w:val="0000EE"/>
            <w:u w:val="single"/>
          </w:rPr>
          <w:t>[4]</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(IoT Worlds) - Paragraph 1, Paragraph 2, Paragraph 3, Paragraph 4, Paragraph 5, Paragraph 6, Paragraph 7, Paragraph 9, Paragraph 10, Paragraph 11 </w:t>
      </w:r>
      <w:r/>
    </w:p>
    <w:p>
      <w:pPr>
        <w:pStyle w:val="ListBullet"/>
        <w:spacing w:line="240" w:lineRule="auto"/>
        <w:ind w:left="720"/>
      </w:pPr>
      <w:r/>
      <w:hyperlink r:id="rId10">
        <w:r>
          <w:rPr>
            <w:color w:val="0000EE"/>
            <w:u w:val="single"/>
          </w:rPr>
          <w:t>[2]</w:t>
        </w:r>
      </w:hyperlink>
      <w:r>
        <w:t xml:space="preserve"> (The Digital Insurer report) - Paragraph 1, Paragraph 2, Paragraph 6, Paragraph 9, Paragraph 11 </w:t>
      </w:r>
      <w:r/>
    </w:p>
    <w:p>
      <w:pPr>
        <w:pStyle w:val="ListBullet"/>
        <w:spacing w:line="240" w:lineRule="auto"/>
        <w:ind w:left="720"/>
      </w:pPr>
      <w:r/>
      <w:hyperlink r:id="rId12">
        <w:r>
          <w:rPr>
            <w:color w:val="0000EE"/>
            <w:u w:val="single"/>
          </w:rPr>
          <w:t>[3]</w:t>
        </w:r>
      </w:hyperlink>
      <w:r>
        <w:t xml:space="preserve"> (Octo Telematics paper) - Paragraph 2, Paragraph 3, Paragraph 5, Paragraph 8 </w:t>
      </w:r>
      <w:r/>
    </w:p>
    <w:p>
      <w:pPr>
        <w:pStyle w:val="ListBullet"/>
        <w:spacing w:line="240" w:lineRule="auto"/>
        <w:ind w:left="720"/>
      </w:pPr>
      <w:r/>
      <w:hyperlink r:id="rId11">
        <w:r>
          <w:rPr>
            <w:color w:val="0000EE"/>
            <w:u w:val="single"/>
          </w:rPr>
          <w:t>[4]</w:t>
        </w:r>
      </w:hyperlink>
      <w:r>
        <w:t xml:space="preserve"> (PwC publication) - Paragraph 4, Paragraph 7, Paragraph 10, Paragraph 11 </w:t>
      </w:r>
      <w:r/>
    </w:p>
    <w:p>
      <w:pPr>
        <w:pStyle w:val="ListBullet"/>
        <w:spacing w:line="240" w:lineRule="auto"/>
        <w:ind w:left="720"/>
      </w:pPr>
      <w:r/>
      <w:hyperlink r:id="rId15">
        <w:r>
          <w:rPr>
            <w:color w:val="0000EE"/>
            <w:u w:val="single"/>
          </w:rPr>
          <w:t>[5]</w:t>
        </w:r>
      </w:hyperlink>
      <w:r>
        <w:t xml:space="preserve"> (Forbes) - Paragraph 6 </w:t>
      </w:r>
      <w:r/>
    </w:p>
    <w:p>
      <w:pPr>
        <w:pStyle w:val="ListBullet"/>
        <w:spacing w:line="240" w:lineRule="auto"/>
        <w:ind w:left="720"/>
      </w:pPr>
      <w:r/>
      <w:hyperlink r:id="rId13">
        <w:r>
          <w:rPr>
            <w:color w:val="0000EE"/>
            <w:u w:val="single"/>
          </w:rPr>
          <w:t>[6]</w:t>
        </w:r>
      </w:hyperlink>
      <w:r>
        <w:t xml:space="preserve"> (EasySend blog) - Paragraph 3, Paragraph 9 </w:t>
      </w:r>
      <w:r/>
    </w:p>
    <w:p>
      <w:pPr>
        <w:pStyle w:val="ListBullet"/>
        <w:spacing w:line="240" w:lineRule="auto"/>
        <w:ind w:left="720"/>
      </w:pPr>
      <w:r/>
      <w:hyperlink r:id="rId14">
        <w:r>
          <w:rPr>
            <w:color w:val="0000EE"/>
            <w:u w:val="single"/>
          </w:rPr>
          <w:t>[7]</w:t>
        </w:r>
      </w:hyperlink>
      <w:r>
        <w:t xml:space="preserve"> (CM Telematics report) - Paragraph 5, Paragraph 8, Paragraph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https://iotworlds.com/connected-insurance-the-ultimate-guide-to-iot-powered-risk-pricing-and-claims/</w:t>
        </w:r>
      </w:hyperlink>
      <w:r>
        <w:t xml:space="preserve"> - Please view link - unable to able to access data</w:t>
      </w:r>
      <w:r/>
    </w:p>
    <w:p>
      <w:pPr>
        <w:pStyle w:val="ListNumber"/>
        <w:spacing w:line="240" w:lineRule="auto"/>
        <w:ind w:left="720"/>
      </w:pPr>
      <w:r/>
      <w:hyperlink r:id="rId10">
        <w:r>
          <w:rPr>
            <w:color w:val="0000EE"/>
            <w:u w:val="single"/>
          </w:rPr>
          <w:t>https://www.the-digital-insurer.com/wp-content/uploads/2020/04/1612-Insurance-Report-IoT-2019.pdf</w:t>
        </w:r>
      </w:hyperlink>
      <w:r>
        <w:t xml:space="preserve"> - This report discusses the transformative impact of the Internet of Things (IoT) on the insurance industry, highlighting how IoT enables insurers to enhance risk assessment, pricing, and claims processes. It emphasizes the shift from traditional data collection methods to real-time data streams from connected devices, leading to more accurate risk pricing, proactive loss prevention, and expedited claims settlements. The document also explores the integration of IoT with artificial intelligence (AI) ecosystems, enabling insurers to offer usage-based products and personalized services, thereby improving customer engagement and operational efficiency.</w:t>
      </w:r>
      <w:r/>
    </w:p>
    <w:p>
      <w:pPr>
        <w:pStyle w:val="ListNumber"/>
        <w:spacing w:line="240" w:lineRule="auto"/>
        <w:ind w:left="720"/>
      </w:pPr>
      <w:r/>
      <w:hyperlink r:id="rId12">
        <w:r>
          <w:rPr>
            <w:color w:val="0000EE"/>
            <w:u w:val="single"/>
          </w:rPr>
          <w:t>https://www.octotelematics.com/assets/uploads/2020/11/octo-telematics-1-1OE6YIM6.pdf</w:t>
        </w:r>
      </w:hyperlink>
      <w:r>
        <w:t xml:space="preserve"> - This paper examines the role of connected insurance in the digital transformation of the insurance sector, focusing on how IoT technologies enhance customer engagement and claims management. It outlines various IoT applications, such as telematics devices in vehicles and smart-home sensors, that provide insurers with real-time data for risk assessment and pricing. The document also discusses the benefits of IoT in reducing fraud, improving loss prevention, and offering value-added services, thereby fostering stronger relationships between insurers and policyholders.</w:t>
      </w:r>
      <w:r/>
    </w:p>
    <w:p>
      <w:pPr>
        <w:pStyle w:val="ListNumber"/>
        <w:spacing w:line="240" w:lineRule="auto"/>
        <w:ind w:left="720"/>
      </w:pPr>
      <w:r/>
      <w:hyperlink r:id="rId11">
        <w:r>
          <w:rPr>
            <w:color w:val="0000EE"/>
            <w:u w:val="single"/>
          </w:rPr>
          <w:t>https://www.pwc.com/it/it/publications/assets/docs/connected-insurance.pdf</w:t>
        </w:r>
      </w:hyperlink>
      <w:r>
        <w:t xml:space="preserve"> - This publication by PwC explores the evolution of connected insurance, emphasizing the integration of IoT devices and sensors into insurance models. It highlights how real-time data collection from connected devices enables insurers to refine risk selection, pricing, and claims processes. The document discusses the advantages of data-driven approaches over traditional actuarial methods, the emergence of usage-based insurance products, and the importance of integrating IoT and AI ecosystems to enhance operational efficiency and customer satisfaction.</w:t>
      </w:r>
      <w:r/>
    </w:p>
    <w:p>
      <w:pPr>
        <w:pStyle w:val="ListNumber"/>
        <w:spacing w:line="240" w:lineRule="auto"/>
        <w:ind w:left="720"/>
      </w:pPr>
      <w:r/>
      <w:hyperlink r:id="rId15">
        <w:r>
          <w:rPr>
            <w:color w:val="0000EE"/>
            <w:u w:val="single"/>
          </w:rPr>
          <w:t>https://www.forbes.com/sites/blakemorgan/2018/05/16/heres-how-iot-will-impact-the-insurance-claims-process/</w:t>
        </w:r>
      </w:hyperlink>
      <w:r>
        <w:t xml:space="preserve"> - This Forbes article examines the impact of IoT on the insurance claims process, highlighting how connected devices are transforming the industry. It discusses how IoT enables insurers to collect real-time data, leading to more accurate risk assessments and personalized pricing. The article also addresses the potential for IoT to reduce fraudulent claims through continuous monitoring and the challenges insurers face in managing the vast amounts of data generated by IoT devices.</w:t>
      </w:r>
      <w:r/>
    </w:p>
    <w:p>
      <w:pPr>
        <w:pStyle w:val="ListNumber"/>
        <w:spacing w:line="240" w:lineRule="auto"/>
        <w:ind w:left="720"/>
      </w:pPr>
      <w:r/>
      <w:hyperlink r:id="rId13">
        <w:r>
          <w:rPr>
            <w:color w:val="0000EE"/>
            <w:u w:val="single"/>
          </w:rPr>
          <w:t>https://www.easysend.io/blog/the-intersection-of-iot-and-insurance-how-connected-devices-are-transforming-risk-management</w:t>
        </w:r>
      </w:hyperlink>
      <w:r>
        <w:t xml:space="preserve"> - This blog post explores the intersection of IoT and insurance, focusing on how connected devices are revolutionizing risk management. It discusses the benefits of IoT in providing insurers with real-time data for more accurate risk assessment and pricing. The article also highlights the role of IoT in enhancing customer engagement through personalized services and the challenges insurers face in integrating IoT technologies into their existing systems.</w:t>
      </w:r>
      <w:r/>
    </w:p>
    <w:p>
      <w:pPr>
        <w:pStyle w:val="ListNumber"/>
        <w:spacing w:line="240" w:lineRule="auto"/>
        <w:ind w:left="720"/>
      </w:pPr>
      <w:r/>
      <w:hyperlink r:id="rId14">
        <w:r>
          <w:rPr>
            <w:color w:val="0000EE"/>
            <w:u w:val="single"/>
          </w:rPr>
          <w:t>https://www.cmtelematics.com/wp-content/uploads/2020/07/US_Connected-Insurance_Value_-Propositions_-Report_WEB.pdf</w:t>
        </w:r>
      </w:hyperlink>
      <w:r>
        <w:t xml:space="preserve"> - This report delves into the value propositions of connected insurance, emphasizing the role of IoT in transforming the insurance landscape. It outlines various use cases, including risk-based individual pricing facilitated by telematics programs, and discusses how continuous monitoring of risk exposure allows for dynamic pricing models. The document also highlights the potential for IoT to improve customer engagement through value-added services and the importance of integrating IoT data into underwriting and claims processes to enhance operational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otworlds.com/connected-insurance-the-ultimate-guide-to-iot-powered-risk-pricing-and-claims/" TargetMode="External"/><Relationship Id="rId10" Type="http://schemas.openxmlformats.org/officeDocument/2006/relationships/hyperlink" Target="https://www.the-digital-insurer.com/wp-content/uploads/2020/04/1612-Insurance-Report-IoT-2019.pdf" TargetMode="External"/><Relationship Id="rId11" Type="http://schemas.openxmlformats.org/officeDocument/2006/relationships/hyperlink" Target="https://www.pwc.com/it/it/publications/assets/docs/connected-insurance.pdf" TargetMode="External"/><Relationship Id="rId12" Type="http://schemas.openxmlformats.org/officeDocument/2006/relationships/hyperlink" Target="https://www.octotelematics.com/assets/uploads/2020/11/octo-telematics-1-1OE6YIM6.pdf" TargetMode="External"/><Relationship Id="rId13" Type="http://schemas.openxmlformats.org/officeDocument/2006/relationships/hyperlink" Target="https://www.easysend.io/blog/the-intersection-of-iot-and-insurance-how-connected-devices-are-transforming-risk-management" TargetMode="External"/><Relationship Id="rId14" Type="http://schemas.openxmlformats.org/officeDocument/2006/relationships/hyperlink" Target="https://www.cmtelematics.com/wp-content/uploads/2020/07/US_Connected-Insurance_Value_-Propositions_-Report_WEB.pdf" TargetMode="External"/><Relationship Id="rId15" Type="http://schemas.openxmlformats.org/officeDocument/2006/relationships/hyperlink" Target="https://www.forbes.com/sites/blakemorgan/2018/05/16/heres-how-iot-will-impact-the-insurance-claims-proces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