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Insurance pricing shifts to cloud-native engines for faster, secure, and integrated scaling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Modern pricing engines are shifting insurance IT from an operational burden into a strategic capability, accelerating time-to-market and reducing the infrastructure overhead that long constrained rate change cycles. According to the original report by FinTech Global, cloud-native designs and an API-first mindset are central to that shift, replacing brittle, middleware‑heavy deployments with stateless, elastic platforms that let business teams validate and push changes far more quickly. </w:t>
      </w:r>
      <w:hyperlink r:id="rId9">
        <w:r>
          <w:rPr>
            <w:color w:val="0000EE"/>
            <w:u w:val="single"/>
          </w:rPr>
          <w:t>[1]</w:t>
        </w:r>
      </w:hyperlink>
      <w:r/>
    </w:p>
    <w:p>
      <w:r/>
      <w:r>
        <w:t xml:space="preserve">Industry vendors position this evolution as an end-to-end reinvention of the pricing lifecycle. Akur8, a next‑generation actuarial platform, frames the change as unifying modelling, governance and deployment in a single cloud-hosted stack that lets actuaries build production‑ready rate plans and move them into live quoting without long integration projects. The company says its platform is used across multiple lines of business and by more than 300 insurers worldwide. </w:t>
      </w:r>
      <w:hyperlink r:id="rId10">
        <w:r>
          <w:rPr>
            <w:color w:val="0000EE"/>
            <w:u w:val="single"/>
          </w:rPr>
          <w:t>[2]</w:t>
        </w:r>
      </w:hyperlink>
      <w:hyperlink r:id="rId11">
        <w:r>
          <w:rPr>
            <w:color w:val="0000EE"/>
            <w:u w:val="single"/>
          </w:rPr>
          <w:t>[3]</w:t>
        </w:r>
      </w:hyperlink>
      <w:r/>
    </w:p>
    <w:p>
      <w:r/>
      <w:r>
        <w:t xml:space="preserve">The technical pivot is built on familiar modern practices: RESTful, OpenAPI‑compatible APIs; JSON payloads; stateless services and microservices architectures. These patterns reduce bespoke integration work, enable versioned APIs that protect existing workflows, and allow developer teams to use standard toolchains rather than vendor‑specific middleware. As the original report notes, what once took months can be compressed to days. </w:t>
      </w:r>
      <w:hyperlink r:id="rId9">
        <w:r>
          <w:rPr>
            <w:color w:val="0000EE"/>
            <w:u w:val="single"/>
          </w:rPr>
          <w:t>[1]</w:t>
        </w:r>
      </w:hyperlink>
      <w:hyperlink r:id="rId12">
        <w:r>
          <w:rPr>
            <w:color w:val="0000EE"/>
            <w:u w:val="single"/>
          </w:rPr>
          <w:t>[6]</w:t>
        </w:r>
      </w:hyperlink>
      <w:r/>
    </w:p>
    <w:p>
      <w:r/>
      <w:r>
        <w:t xml:space="preserve">Elasticity and predictable cost models are a second, practical driver. Historically insurers over‑provisioned capacity for renewals and regulatory change, leaving significant resources idle; cloud‑native engines instead deliver automatic scaling and consumption‑aligned pricing. Vendors now advertise millisecond‑level quoting and the ability to absorb tenfold to thousandfold spikes in demand, transforming both cost management and customer responsiveness. </w:t>
      </w:r>
      <w:hyperlink r:id="rId9">
        <w:r>
          <w:rPr>
            <w:color w:val="0000EE"/>
            <w:u w:val="single"/>
          </w:rPr>
          <w:t>[1]</w:t>
        </w:r>
      </w:hyperlink>
      <w:hyperlink r:id="rId12">
        <w:r>
          <w:rPr>
            <w:color w:val="0000EE"/>
            <w:u w:val="single"/>
          </w:rPr>
          <w:t>[6]</w:t>
        </w:r>
      </w:hyperlink>
      <w:r/>
    </w:p>
    <w:p>
      <w:r/>
      <w:r>
        <w:t xml:space="preserve">Security and compliance remain fundamental. The sector expects enterprise‑grade controls embedded by default, SOC 2 Type II, ISO 27001, AES‑256 encryption, TLS, role‑based access control and MFA, so that IT can meet audit requirements without extensive patching or data‑centre governance. Public cloud providers and specialist platforms point to formal certifications and SLAs (for example, 99.95% uptime on some tiers) as part of their proposition. Industry blog and vendor materials emphasise these certifications as critical to insurer confidence in hosted pricing engines. </w:t>
      </w:r>
      <w:hyperlink r:id="rId9">
        <w:r>
          <w:rPr>
            <w:color w:val="0000EE"/>
            <w:u w:val="single"/>
          </w:rPr>
          <w:t>[1]</w:t>
        </w:r>
      </w:hyperlink>
      <w:hyperlink r:id="rId13">
        <w:r>
          <w:rPr>
            <w:color w:val="0000EE"/>
            <w:u w:val="single"/>
          </w:rPr>
          <w:t>[5]</w:t>
        </w:r>
      </w:hyperlink>
      <w:hyperlink r:id="rId14">
        <w:r>
          <w:rPr>
            <w:color w:val="0000EE"/>
            <w:u w:val="single"/>
          </w:rPr>
          <w:t>[4]</w:t>
        </w:r>
      </w:hyperlink>
      <w:r/>
    </w:p>
    <w:p>
      <w:r/>
      <w:r>
        <w:t xml:space="preserve">Operational practice is changing too: continuous delivery, zero‑downtime releases and built‑in model versioning mean updates can be deployed without maintenance windows and with full traceability. That reduces "firefighting" overhead for CIOs and allows IT teams to focus on strategic integration and oversight rather than server lifecycle tasks. Akur8’s recent product additions, Rate Repo for regulatory‑ready rate repositories and Deploy for pushing rates to production, illustrate how vendors are packaging governance and execution together. </w:t>
      </w:r>
      <w:hyperlink r:id="rId9">
        <w:r>
          <w:rPr>
            <w:color w:val="0000EE"/>
            <w:u w:val="single"/>
          </w:rPr>
          <w:t>[1]</w:t>
        </w:r>
      </w:hyperlink>
      <w:hyperlink r:id="rId11">
        <w:r>
          <w:rPr>
            <w:color w:val="0000EE"/>
            <w:u w:val="single"/>
          </w:rPr>
          <w:t>[3]</w:t>
        </w:r>
      </w:hyperlink>
      <w:r/>
    </w:p>
    <w:p>
      <w:r/>
      <w:r>
        <w:t xml:space="preserve">The competitive consequence is cultural as much as technical. When actuaries, data scientists and business owners share a single platform, the traditional silos between modelling and deployment dissolve: simulations and ratemaking can feed directly into production rate plans, and business users can iterate more rapidly. Vendors and analysts alike argue that this coherence turns pricing agility into a durable advantage rather than an occasional project win.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market is becoming crowded with API‑first and hosted pricing alternatives, from specialist actuarial platforms to broader policy lifecycle or search/observability providers offering compliant, serverless options. Direct competitors and adjacent technology suppliers highlight different emphases, no‑code model builders, high‑throughput request handling, or extensive API catalogues, giving insurers a range of technical and commercial trade‑offs to weigh. Procurement decisions will hinge on integration simplicity, compliance posture, performance guarantees and ongoing total cost of ownership. </w:t>
      </w:r>
      <w:hyperlink r:id="rId12">
        <w:r>
          <w:rPr>
            <w:color w:val="0000EE"/>
            <w:u w:val="single"/>
          </w:rPr>
          <w:t>[6]</w:t>
        </w:r>
      </w:hyperlink>
      <w:hyperlink r:id="rId15">
        <w:r>
          <w:rPr>
            <w:color w:val="0000EE"/>
            <w:u w:val="single"/>
          </w:rPr>
          <w:t>[7]</w:t>
        </w:r>
      </w:hyperlink>
      <w:hyperlink r:id="rId14">
        <w:r>
          <w:rPr>
            <w:color w:val="0000EE"/>
            <w:u w:val="single"/>
          </w:rPr>
          <w:t>[4]</w:t>
        </w:r>
      </w:hyperlink>
      <w:r/>
    </w:p>
    <w:p>
      <w:r/>
      <w:r>
        <w:t xml:space="preserve">For insurers, the choice is less about whether to modernise than how fast and how far. Moving pricing from "backstage plumbing" to a governed, cloud‑native engine promises faster launches, smaller deployment windows and the ability to scale transparently with demand. According to the original report, that transition reframes IT from gatekeeper to enabler, provided incumbents and newcomers alike continue to demonstrate the security, transparency and regulatory readiness the sector requires.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(FinTech Global) - Paragraph 1, Paragraph 3, Paragraph 4, Paragraph 6, Paragraph 9 </w:t>
      </w:r>
      <w:r/>
    </w:p>
    <w:p>
      <w:pPr>
        <w:pStyle w:val="ListBullet"/>
        <w:spacing w:line="240" w:lineRule="auto"/>
        <w:ind w:left="720"/>
      </w:pPr>
      <w:r/>
      <w:hyperlink r:id="rId10">
        <w:r>
          <w:rPr>
            <w:color w:val="0000EE"/>
            <w:u w:val="single"/>
          </w:rPr>
          <w:t>[2]</w:t>
        </w:r>
      </w:hyperlink>
      <w:r>
        <w:t xml:space="preserve"> (Akur8) - Paragraph 2, Paragraph 7, Paragraph 9 </w:t>
      </w:r>
      <w:r/>
    </w:p>
    <w:p>
      <w:pPr>
        <w:pStyle w:val="ListBullet"/>
        <w:spacing w:line="240" w:lineRule="auto"/>
        <w:ind w:left="720"/>
      </w:pPr>
      <w:r/>
      <w:hyperlink r:id="rId11">
        <w:r>
          <w:rPr>
            <w:color w:val="0000EE"/>
            <w:u w:val="single"/>
          </w:rPr>
          <w:t>[3]</w:t>
        </w:r>
      </w:hyperlink>
      <w:r>
        <w:t xml:space="preserve"> (Akur8 press release) - Paragraph 2, Paragraph 6, Paragraph 9 </w:t>
      </w:r>
      <w:r/>
    </w:p>
    <w:p>
      <w:pPr>
        <w:pStyle w:val="ListBullet"/>
        <w:spacing w:line="240" w:lineRule="auto"/>
        <w:ind w:left="720"/>
      </w:pPr>
      <w:r/>
      <w:hyperlink r:id="rId14">
        <w:r>
          <w:rPr>
            <w:color w:val="0000EE"/>
            <w:u w:val="single"/>
          </w:rPr>
          <w:t>[4]</w:t>
        </w:r>
      </w:hyperlink>
      <w:r>
        <w:t xml:space="preserve"> (Elastic) - Paragraph 5, Paragraph 8 </w:t>
      </w:r>
      <w:r/>
    </w:p>
    <w:p>
      <w:pPr>
        <w:pStyle w:val="ListBullet"/>
        <w:spacing w:line="240" w:lineRule="auto"/>
        <w:ind w:left="720"/>
      </w:pPr>
      <w:r/>
      <w:hyperlink r:id="rId13">
        <w:r>
          <w:rPr>
            <w:color w:val="0000EE"/>
            <w:u w:val="single"/>
          </w:rPr>
          <w:t>[5]</w:t>
        </w:r>
      </w:hyperlink>
      <w:r>
        <w:t xml:space="preserve"> (Elastic blog) - Paragraph 5 </w:t>
      </w:r>
      <w:r/>
    </w:p>
    <w:p>
      <w:pPr>
        <w:pStyle w:val="ListBullet"/>
        <w:spacing w:line="240" w:lineRule="auto"/>
        <w:ind w:left="720"/>
      </w:pPr>
      <w:r/>
      <w:hyperlink r:id="rId12">
        <w:r>
          <w:rPr>
            <w:color w:val="0000EE"/>
            <w:u w:val="single"/>
          </w:rPr>
          <w:t>[6]</w:t>
        </w:r>
      </w:hyperlink>
      <w:r>
        <w:t xml:space="preserve"> (Insurtech Digital) - Paragraph 3, Paragraph 4, Paragraph 8 </w:t>
      </w:r>
      <w:r/>
    </w:p>
    <w:p>
      <w:pPr>
        <w:pStyle w:val="ListBullet"/>
        <w:spacing w:line="240" w:lineRule="auto"/>
        <w:ind w:left="720"/>
      </w:pPr>
      <w:r/>
      <w:hyperlink r:id="rId15">
        <w:r>
          <w:rPr>
            <w:color w:val="0000EE"/>
            <w:u w:val="single"/>
          </w:rPr>
          <w:t>[7]</w:t>
        </w:r>
      </w:hyperlink>
      <w:r>
        <w:t xml:space="preserve"> (F6S directory)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https://fintech.global/2025/12/09/an-it-leaders-guide-to-agile-and-scalable-pricing-systems/?utm_source=rss&amp;utm_medium=rss&amp;utm_campaign=an-it-leaders-guide-to-agile-and-scalable-pricing-systems</w:t>
        </w:r>
      </w:hyperlink>
      <w:r>
        <w:t xml:space="preserve"> - Please view link - unable to able to access data</w:t>
      </w:r>
      <w:r/>
    </w:p>
    <w:p>
      <w:pPr>
        <w:pStyle w:val="ListNumber"/>
        <w:spacing w:line="240" w:lineRule="auto"/>
        <w:ind w:left="720"/>
      </w:pPr>
      <w:r/>
      <w:hyperlink r:id="rId10">
        <w:r>
          <w:rPr>
            <w:color w:val="0000EE"/>
            <w:u w:val="single"/>
          </w:rPr>
          <w:t>https://www.akur8.com/</w:t>
        </w:r>
      </w:hyperlink>
      <w:r>
        <w:t xml:space="preserve"> - Akur8 is a next-generation insurance pricing and reserving platform that leverages transparent machine learning and predictive analytics to enhance speed, performance, and reliability in insurers' pricing and reserving processes. The platform offers a fully integrated, cloud-based solution designed to modernise actuarial workflows, enabling insurers to refine databases, generate risk models, assess demand, and build production-ready rate plans. Akur8's user-friendly interface and machine learning capabilities aim to automate mundane tasks, allowing actuaries to focus on higher-value business decision-making. The platform is adaptable to various lines of business, including personal, commercial, and specialty lines, and is used by over 300 insurers worldwide. (</w:t>
      </w:r>
      <w:hyperlink r:id="rId17">
        <w:r>
          <w:rPr>
            <w:color w:val="0000EE"/>
            <w:u w:val="single"/>
          </w:rPr>
          <w:t>akur8.com</w:t>
        </w:r>
      </w:hyperlink>
      <w:r>
        <w:t>)</w:t>
      </w:r>
      <w:r/>
    </w:p>
    <w:p>
      <w:pPr>
        <w:pStyle w:val="ListNumber"/>
        <w:spacing w:line="240" w:lineRule="auto"/>
        <w:ind w:left="720"/>
      </w:pPr>
      <w:r/>
      <w:hyperlink r:id="rId11">
        <w:r>
          <w:rPr>
            <w:color w:val="0000EE"/>
            <w:u w:val="single"/>
          </w:rPr>
          <w:t>https://www.akur8.com/news/akur8-expands-pricing-suite-with-launch-of-rate-repo-and-deploy</w:t>
        </w:r>
      </w:hyperlink>
      <w:r>
        <w:t xml:space="preserve"> - On October 14, 2025, Akur8 announced the launch of Rate Repo and Deploy, two additions to its pricing suite that expand the platform's capabilities and reinforce its position as the insurance industry's only end-to-end actuarial platform. Rate Repo serves as Akur8's regulatory-ready rate repository, centralising and simplifying the management of complex Rate Order Calculations (ROCs) across states, entities, and lines of business. Deploy is Akur8's fully integrated, cloud-based pricing engine that seamlessly moves rates into live production, enabling insurers to import rate plans in minutes, deploy them in seconds, and quote in milliseconds. Together, these additions aim to provide insurers with a unified workflow from model build to governance to deployment. (</w:t>
      </w:r>
      <w:hyperlink r:id="rId18">
        <w:r>
          <w:rPr>
            <w:color w:val="0000EE"/>
            <w:u w:val="single"/>
          </w:rPr>
          <w:t>akur8.com</w:t>
        </w:r>
      </w:hyperlink>
      <w:r>
        <w:t>)</w:t>
      </w:r>
      <w:r/>
    </w:p>
    <w:p>
      <w:pPr>
        <w:pStyle w:val="ListNumber"/>
        <w:spacing w:line="240" w:lineRule="auto"/>
        <w:ind w:left="720"/>
      </w:pPr>
      <w:r/>
      <w:hyperlink r:id="rId14">
        <w:r>
          <w:rPr>
            <w:color w:val="0000EE"/>
            <w:u w:val="single"/>
          </w:rPr>
          <w:t>https://www.elastic.co/pricing/</w:t>
        </w:r>
      </w:hyperlink>
      <w:r>
        <w:t xml:space="preserve"> - Elastic offers a cloud-based search, observability, and security platform with flexible hosted and serverless options. The platform provides solutions for building search and vector database applications, monitoring app and infrastructure health, and protecting against cyber threats. Elastic Cloud's pricing is designed to be flexible, allowing users to choose between control and simplicity, with options for resource-based, usage-based, or license-based pricing. The platform supports multiple cloud providers, including AWS, GCP, Azure, and Alibaba, and offers a 99.95% monthly uptime SLA for Platinum and Enterprise subscription tiers. (</w:t>
      </w:r>
      <w:hyperlink r:id="rId19">
        <w:r>
          <w:rPr>
            <w:color w:val="0000EE"/>
            <w:u w:val="single"/>
          </w:rPr>
          <w:t>elastic.co</w:t>
        </w:r>
      </w:hyperlink>
      <w:r>
        <w:t>)</w:t>
      </w:r>
      <w:r/>
    </w:p>
    <w:p>
      <w:pPr>
        <w:pStyle w:val="ListNumber"/>
        <w:spacing w:line="240" w:lineRule="auto"/>
        <w:ind w:left="720"/>
      </w:pPr>
      <w:r/>
      <w:hyperlink r:id="rId13">
        <w:r>
          <w:rPr>
            <w:color w:val="0000EE"/>
            <w:u w:val="single"/>
          </w:rPr>
          <w:t>https://www.elastic.co/blog/elastic-cloud-serverless-achieves-major-compliance-certifications</w:t>
        </w:r>
      </w:hyperlink>
      <w:r>
        <w:t xml:space="preserve"> - Elastic Cloud Serverless on AWS has achieved several important security and compliance certifications, including SOC 2 Type 2, ISO 27001, ISO 27017, ISO 27018, PCI DSS, HIPAA, and CSA STAR frameworks. These certifications demonstrate Elastic's commitment to high standards of security, governance, and data protection, reinforcing trust in the service. The certifications assure users that Elastic Cloud Serverless meets rigorous standards for security, availability, confidentiality, and privacy, particularly concerning cloud services and personal data protection. (</w:t>
      </w:r>
      <w:hyperlink r:id="rId20">
        <w:r>
          <w:rPr>
            <w:color w:val="0000EE"/>
            <w:u w:val="single"/>
          </w:rPr>
          <w:t>elastic.co</w:t>
        </w:r>
      </w:hyperlink>
      <w:r>
        <w:t>)</w:t>
      </w:r>
      <w:r/>
    </w:p>
    <w:p>
      <w:pPr>
        <w:pStyle w:val="ListNumber"/>
        <w:spacing w:line="240" w:lineRule="auto"/>
        <w:ind w:left="720"/>
      </w:pPr>
      <w:r/>
      <w:hyperlink r:id="rId12">
        <w:r>
          <w:rPr>
            <w:color w:val="0000EE"/>
            <w:u w:val="single"/>
          </w:rPr>
          <w:t>https://insurtechdigital.com/articles/is2-unveils-api-enabled-hosted-pricing-solution</w:t>
        </w:r>
      </w:hyperlink>
      <w:r>
        <w:t xml:space="preserve"> - In September 2024, insurtech firm IS2 unveiled its innovative API-enabled hosted pricing solution, aiming to revolutionise the distribution and pricing of insurance products. The solution integrates seamlessly with IS2's existing suite of insurance software products, allowing insurers to dynamically adjust pricing in real time based on various factors. It employs a microservices architecture for scalability and ease of integration, and advanced machine learning algorithms to analyse vast amounts of data, including historical claims data and current market conditions. The system can handle complex, multi-variable pricing models and boasts impressive performance metrics, processing up to 10,000 pricing requests per second with low latency. (</w:t>
      </w:r>
      <w:hyperlink r:id="rId21">
        <w:r>
          <w:rPr>
            <w:color w:val="0000EE"/>
            <w:u w:val="single"/>
          </w:rPr>
          <w:t>insurtechdigital.com</w:t>
        </w:r>
      </w:hyperlink>
      <w:r>
        <w:t>)</w:t>
      </w:r>
      <w:r/>
    </w:p>
    <w:p>
      <w:pPr>
        <w:pStyle w:val="ListNumber"/>
        <w:spacing w:line="240" w:lineRule="auto"/>
        <w:ind w:left="720"/>
      </w:pPr>
      <w:r/>
      <w:hyperlink r:id="rId15">
        <w:r>
          <w:rPr>
            <w:color w:val="0000EE"/>
            <w:u w:val="single"/>
          </w:rPr>
          <w:t>https://www.f6s.com/software/category/insurance-pricing-api</w:t>
        </w:r>
      </w:hyperlink>
      <w:r>
        <w:t xml:space="preserve"> - F6S provides a directory of insurance pricing API software, including platforms like Swallow and tiger core. Swallow is an all-in-one, no-code pricing platform for financial products, especially insurance, enabling teams to build, test, and deploy pricing models on a drag-and-drop canvas. It also auto-generates forms and APIs from spreadsheets and includes AI agents to speed model setup and project summaries. Tiger core is tigerlab’s end-to-end, API-first policy lifecycle platform for insurance, offering a modular foundation with over 1,000 APIs to launch and run insurance products quickly and scale operations. (</w:t>
      </w:r>
      <w:hyperlink r:id="rId22">
        <w:r>
          <w:rPr>
            <w:color w:val="0000EE"/>
            <w:u w:val="single"/>
          </w:rPr>
          <w:t>f6s.com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global/2025/12/09/an-it-leaders-guide-to-agile-and-scalable-pricing-systems/?utm_source=rss&amp;utm_medium=rss&amp;utm_campaign=an-it-leaders-guide-to-agile-and-scalable-pricing-systems" TargetMode="External"/><Relationship Id="rId10" Type="http://schemas.openxmlformats.org/officeDocument/2006/relationships/hyperlink" Target="https://www.akur8.com/" TargetMode="External"/><Relationship Id="rId11" Type="http://schemas.openxmlformats.org/officeDocument/2006/relationships/hyperlink" Target="https://www.akur8.com/news/akur8-expands-pricing-suite-with-launch-of-rate-repo-and-deploy" TargetMode="External"/><Relationship Id="rId12" Type="http://schemas.openxmlformats.org/officeDocument/2006/relationships/hyperlink" Target="https://insurtechdigital.com/articles/is2-unveils-api-enabled-hosted-pricing-solution" TargetMode="External"/><Relationship Id="rId13" Type="http://schemas.openxmlformats.org/officeDocument/2006/relationships/hyperlink" Target="https://www.elastic.co/blog/elastic-cloud-serverless-achieves-major-compliance-certifications" TargetMode="External"/><Relationship Id="rId14" Type="http://schemas.openxmlformats.org/officeDocument/2006/relationships/hyperlink" Target="https://www.elastic.co/pricing/" TargetMode="External"/><Relationship Id="rId15" Type="http://schemas.openxmlformats.org/officeDocument/2006/relationships/hyperlink" Target="https://www.f6s.com/software/category/insurance-pricing-api" TargetMode="External"/><Relationship Id="rId16" Type="http://schemas.openxmlformats.org/officeDocument/2006/relationships/hyperlink" Target="https://www.noahwire.com" TargetMode="External"/><Relationship Id="rId17" Type="http://schemas.openxmlformats.org/officeDocument/2006/relationships/hyperlink" Target="https://www.akur8.com/?utm_source=openai" TargetMode="External"/><Relationship Id="rId18" Type="http://schemas.openxmlformats.org/officeDocument/2006/relationships/hyperlink" Target="https://www.akur8.com/news/akur8-expands-pricing-suite-with-launch-of-rate-repo-and-deploy?utm_source=openai" TargetMode="External"/><Relationship Id="rId19" Type="http://schemas.openxmlformats.org/officeDocument/2006/relationships/hyperlink" Target="https://www.elastic.co/pricing/?utm_source=openai" TargetMode="External"/><Relationship Id="rId20" Type="http://schemas.openxmlformats.org/officeDocument/2006/relationships/hyperlink" Target="https://www.elastic.co/blog/elastic-cloud-serverless-achieves-major-compliance-certifications?utm_source=openai" TargetMode="External"/><Relationship Id="rId21" Type="http://schemas.openxmlformats.org/officeDocument/2006/relationships/hyperlink" Target="https://insurtechdigital.com/articles/is2-unveils-api-enabled-hosted-pricing-solution?utm_source=openai" TargetMode="External"/><Relationship Id="rId22" Type="http://schemas.openxmlformats.org/officeDocument/2006/relationships/hyperlink" Target="https://www.f6s.com/software/category/insurance-pricing-ap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