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Tokenized reinsurance could unlock trillion-dollar market for retail investors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Tokenized reinsurance is emerging as a prominent frontier for Real World Asset adoption in decentralized finance, promising to open a previously closed, trillion‑dollar market to retail and DeFi investors. According to the original report, the model converts rights to reinsurance contracts into on‑chain tokens that represent fractional claims on premium income, enabling small investors to access yield streams historically reserved for institutions. </w:t>
      </w:r>
      <w:hyperlink r:id="rId9">
        <w:r>
          <w:rPr>
            <w:color w:val="0000EE"/>
            <w:u w:val="single"/>
          </w:rPr>
          <w:t>[1]</w:t>
        </w:r>
      </w:hyperlink>
      <w:hyperlink r:id="rId9">
        <w:r>
          <w:rPr>
            <w:color w:val="0000EE"/>
            <w:u w:val="single"/>
          </w:rPr>
          <w:t>[2]</w:t>
        </w:r>
      </w:hyperlink>
      <w:r/>
    </w:p>
    <w:p>
      <w:r/>
      <w:r>
        <w:t xml:space="preserve">The attraction is structural: reinsurance returns are driven by insurance events rather than financial‑market cycles, creating a source of uncorrelated, premium‑based yield. The original report emphasises that these returns can be diversified across property, health, cyber, political violence and other specialty lines, and that risk is distributed across tokenised pools rather than concentrated in single holders. Industry commentary and earlier analysis note that such uncorrelated performance is one reason investors view insurance‑linked instruments as portfolio diversifiers. </w:t>
      </w:r>
      <w:hyperlink r:id="rId9">
        <w:r>
          <w:rPr>
            <w:color w:val="0000EE"/>
            <w:u w:val="single"/>
          </w:rPr>
          <w:t>[1]</w:t>
        </w:r>
      </w:hyperlink>
      <w:hyperlink r:id="rId9">
        <w:r>
          <w:rPr>
            <w:color w:val="0000EE"/>
            <w:u w:val="single"/>
          </w:rPr>
          <w:t>[2]</w:t>
        </w:r>
      </w:hyperlink>
      <w:hyperlink r:id="rId10">
        <w:r>
          <w:rPr>
            <w:color w:val="0000EE"/>
            <w:u w:val="single"/>
          </w:rPr>
          <w:t>[7]</w:t>
        </w:r>
      </w:hyperlink>
      <w:r/>
    </w:p>
    <w:p>
      <w:r/>
      <w:r>
        <w:t xml:space="preserve">A key barrier tokenisation seeks to remove is access. Traditional Insurance‑Linked Securities and reinsurance placements typically require minimum investments of $1–$25 million, keeping participation largely institutional and constraining liquidity. The original report argues that substituting ownership with digital tokens reduces minimums, fragments large exposures into tradable units and, through automated smart contracts, can provide near real‑time reporting of positions. Data and prior industry studies also suggest that reducing manual reconciliation and administrative frictions could materially lower structural costs in the reinsurance value chain. </w:t>
      </w:r>
      <w:hyperlink r:id="rId9">
        <w:r>
          <w:rPr>
            <w:color w:val="0000EE"/>
            <w:u w:val="single"/>
          </w:rPr>
          <w:t>[1]</w:t>
        </w:r>
      </w:hyperlink>
      <w:hyperlink r:id="rId9">
        <w:r>
          <w:rPr>
            <w:color w:val="0000EE"/>
            <w:u w:val="single"/>
          </w:rPr>
          <w:t>[2]</w:t>
        </w:r>
      </w:hyperlink>
      <w:hyperlink r:id="rId10">
        <w:r>
          <w:rPr>
            <w:color w:val="0000EE"/>
            <w:u w:val="single"/>
          </w:rPr>
          <w:t>[7]</w:t>
        </w:r>
      </w:hyperlink>
      <w:r/>
    </w:p>
    <w:p>
      <w:r/>
      <w:r>
        <w:t xml:space="preserve">Transparency is presented as both a technical and commercial breakthrough of on‑chain reinsurance. The infrastructure described in the original report, Insurance Capital Layers (ICLs), fully on‑chain collateral and Multi‑Party Computation for transaction security, aims to make contract structures, collateralisation and claims flow auditable in real time. Independent reporting on recent technical integrations shows this is being reinforced by oracle systems: one platform integrated Chainlink’s Proof‑of‑Reserve feeds to publish continuous verification of collateral balances, merging traditional trust accounts with decentralised monitoring.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Collateralised reinsurance is central to the risk‑management case. Unlike traditional reinsurance, where pay‑out depends on a reinsurer’s solvency, collateralised structures post assets equal to the contract limit so funds are available immediately in the event of a claim. The original report describes stablecoin deposits turned into transferable claims on reinsurance profits; explanatory pieces on on‑chain collateralisation add that smart contracts and proof‑of‑reserves reduce counterparty and credit risk by enabling continuous auditing of premium inflows, trust balances and claim outflows. </w:t>
      </w:r>
      <w:hyperlink r:id="rId9">
        <w:r>
          <w:rPr>
            <w:color w:val="0000EE"/>
            <w:u w:val="single"/>
          </w:rPr>
          <w:t>[1]</w:t>
        </w:r>
      </w:hyperlink>
      <w:hyperlink r:id="rId12">
        <w:r>
          <w:rPr>
            <w:color w:val="0000EE"/>
            <w:u w:val="single"/>
          </w:rPr>
          <w:t>[4]</w:t>
        </w:r>
      </w:hyperlink>
      <w:r/>
    </w:p>
    <w:p>
      <w:r/>
      <w:r>
        <w:t xml:space="preserve">Proponents say blockchain rails and composability make underwriting capital more capital‑efficient: on‑chain collateral can be programmatically deployed across quota‑share notes and diversified portfolios while automated execution reduces administrative overhead. The company behind one early entrant claims to be building a decentralised global reinsurance market and has raised seed funding to that end; such announcements should be understood as company statements about future plans rather than independent market validation. Prior industry research has also estimated that removing legacy frictions could cut material costs across reinsurance operations. </w:t>
      </w:r>
      <w:hyperlink r:id="rId13">
        <w:r>
          <w:rPr>
            <w:color w:val="0000EE"/>
            <w:u w:val="single"/>
          </w:rPr>
          <w:t>[5]</w:t>
        </w:r>
      </w:hyperlink>
      <w:hyperlink r:id="rId9">
        <w:r>
          <w:rPr>
            <w:color w:val="0000EE"/>
            <w:u w:val="single"/>
          </w:rPr>
          <w:t>[1]</w:t>
        </w:r>
      </w:hyperlink>
      <w:hyperlink r:id="rId10">
        <w:r>
          <w:rPr>
            <w:color w:val="0000EE"/>
            <w:u w:val="single"/>
          </w:rPr>
          <w:t>[7]</w:t>
        </w:r>
      </w:hyperlink>
      <w:r/>
    </w:p>
    <w:p>
      <w:r/>
      <w:r>
        <w:t xml:space="preserve">Nonetheless, important caveats remain. Tokenisation and on‑chain transparency mitigate certain traditional frictions, but regulatory, operational and model risks persist: legal recognition of tokenised claims, custody of collateral, oracle integrity, and the governance of automated payout rules all matter. Independent technical audits, robust proof‑of‑reserve designs and clear regulatory engagement will be required for wider institutional acceptance. Recent technical write‑ups and reporting underline that decentralised oracles and continuous on‑chain auditing are being prioritised to address these concerns, but they do not eliminate the need for legal and supervisory clarity. </w:t>
      </w:r>
      <w:hyperlink r:id="rId11">
        <w:r>
          <w:rPr>
            <w:color w:val="0000EE"/>
            <w:u w:val="single"/>
          </w:rPr>
          <w:t>[3]</w:t>
        </w:r>
      </w:hyperlink>
      <w:hyperlink r:id="rId12">
        <w:r>
          <w:rPr>
            <w:color w:val="0000EE"/>
            <w:u w:val="single"/>
          </w:rPr>
          <w:t>[4]</w:t>
        </w:r>
      </w:hyperlink>
      <w:hyperlink r:id="rId14">
        <w:r>
          <w:rPr>
            <w:color w:val="0000EE"/>
            <w:u w:val="single"/>
          </w:rPr>
          <w:t>[6]</w:t>
        </w:r>
      </w:hyperlink>
      <w:r/>
    </w:p>
    <w:p>
      <w:r/>
      <w:r>
        <w:t xml:space="preserve">If these technical and regulatory challenges are satisfactorily addressed, tokenised reinsurance could materially broaden investor access to an insurance‑linked asset class, link global capital to real‑world risk via blockchain rails, and reduce entrenched opacity in a traditionally closed market. The original report frames this as the creation of a new market architecture, one blending decentralised capital, automated underwriting and compliant access to real‑world risk, while other sources stress the simultaneous need for cautious, standards‑based implementation. </w:t>
      </w:r>
      <w:hyperlink r:id="rId9">
        <w:r>
          <w:rPr>
            <w:color w:val="0000EE"/>
            <w:u w:val="single"/>
          </w:rPr>
          <w:t>[1]</w:t>
        </w:r>
      </w:hyperlink>
      <w:hyperlink r:id="rId9">
        <w:r>
          <w:rPr>
            <w:color w:val="0000EE"/>
            <w:u w:val="single"/>
          </w:rPr>
          <w:t>[2]</w:t>
        </w:r>
      </w:hyperlink>
      <w:hyperlink r:id="rId13">
        <w:r>
          <w:rPr>
            <w:color w:val="0000EE"/>
            <w:u w:val="single"/>
          </w:rPr>
          <w:t>[5]</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(Finance Magnates) - Paragraph 1, Paragraph 2, Paragraph 3, Paragraph 4, Paragraph 5, Paragraph 6, Paragraph 8 </w:t>
      </w:r>
      <w:r/>
    </w:p>
    <w:p>
      <w:pPr>
        <w:pStyle w:val="ListBullet"/>
        <w:spacing w:line="240" w:lineRule="auto"/>
        <w:ind w:left="720"/>
      </w:pPr>
      <w:r/>
      <w:hyperlink r:id="rId9">
        <w:r>
          <w:rPr>
            <w:color w:val="0000EE"/>
            <w:u w:val="single"/>
          </w:rPr>
          <w:t>[2]</w:t>
        </w:r>
      </w:hyperlink>
      <w:r>
        <w:t xml:space="preserve"> (Finance Magnates summary) - Paragraph 1, Paragraph 2, Paragraph 3 </w:t>
      </w:r>
      <w:r/>
    </w:p>
    <w:p>
      <w:pPr>
        <w:pStyle w:val="ListBullet"/>
        <w:spacing w:line="240" w:lineRule="auto"/>
        <w:ind w:left="720"/>
      </w:pPr>
      <w:r/>
      <w:hyperlink r:id="rId11">
        <w:r>
          <w:rPr>
            <w:color w:val="0000EE"/>
            <w:u w:val="single"/>
          </w:rPr>
          <w:t>[3]</w:t>
        </w:r>
      </w:hyperlink>
      <w:r>
        <w:t xml:space="preserve"> (DeFi‑Planet) - Paragraph 4, Paragraph 7, Paragraph 8 </w:t>
      </w:r>
      <w:r/>
    </w:p>
    <w:p>
      <w:pPr>
        <w:pStyle w:val="ListBullet"/>
        <w:spacing w:line="240" w:lineRule="auto"/>
        <w:ind w:left="720"/>
      </w:pPr>
      <w:r/>
      <w:hyperlink r:id="rId12">
        <w:r>
          <w:rPr>
            <w:color w:val="0000EE"/>
            <w:u w:val="single"/>
          </w:rPr>
          <w:t>[4]</w:t>
        </w:r>
      </w:hyperlink>
      <w:r>
        <w:t xml:space="preserve"> (CryptoReinsurance) - Paragraph 4, Paragraph 5, Paragraph 7 </w:t>
      </w:r>
      <w:r/>
    </w:p>
    <w:p>
      <w:pPr>
        <w:pStyle w:val="ListBullet"/>
        <w:spacing w:line="240" w:lineRule="auto"/>
        <w:ind w:left="720"/>
      </w:pPr>
      <w:r/>
      <w:hyperlink r:id="rId13">
        <w:r>
          <w:rPr>
            <w:color w:val="0000EE"/>
            <w:u w:val="single"/>
          </w:rPr>
          <w:t>[5]</w:t>
        </w:r>
      </w:hyperlink>
      <w:r>
        <w:t xml:space="preserve"> (PR Newswire) - Paragraph 6, Paragraph 8 </w:t>
      </w:r>
      <w:r/>
    </w:p>
    <w:p>
      <w:pPr>
        <w:pStyle w:val="ListBullet"/>
        <w:spacing w:line="240" w:lineRule="auto"/>
        <w:ind w:left="720"/>
      </w:pPr>
      <w:r/>
      <w:hyperlink r:id="rId14">
        <w:r>
          <w:rPr>
            <w:color w:val="0000EE"/>
            <w:u w:val="single"/>
          </w:rPr>
          <w:t>[6]</w:t>
        </w:r>
      </w:hyperlink>
      <w:r>
        <w:t xml:space="preserve"> (Medium) - Paragraph 7 </w:t>
      </w:r>
      <w:r/>
    </w:p>
    <w:p>
      <w:pPr>
        <w:pStyle w:val="ListBullet"/>
        <w:spacing w:line="240" w:lineRule="auto"/>
        <w:ind w:left="720"/>
      </w:pPr>
      <w:r/>
      <w:hyperlink r:id="rId10">
        <w:r>
          <w:rPr>
            <w:color w:val="0000EE"/>
            <w:u w:val="single"/>
          </w:rPr>
          <w:t>[7]</w:t>
        </w:r>
      </w:hyperlink>
      <w:r>
        <w:t xml:space="preserve"> (Cognizant News) - Paragraph 2,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https://www.financemagnates.com/cryptocurrency/retail-investors-tap-trillion-dollar-reinsurance-markets-via-tokenized-defi-platforms/</w:t>
        </w:r>
      </w:hyperlink>
      <w:r>
        <w:t xml:space="preserve"> - Please view link - unable to able to access data</w:t>
      </w:r>
      <w:r/>
    </w:p>
    <w:p>
      <w:pPr>
        <w:pStyle w:val="ListNumber"/>
        <w:spacing w:line="240" w:lineRule="auto"/>
        <w:ind w:left="720"/>
      </w:pPr>
      <w:r/>
      <w:hyperlink r:id="rId9">
        <w:r>
          <w:rPr>
            <w:color w:val="0000EE"/>
            <w:u w:val="single"/>
          </w:rPr>
          <w:t>https://www.financemagnates.com/cryptocurrency/retail-investors-tap-trillion-dollar-reinsurance-markets-via-tokenized-defi-platforms/</w:t>
        </w:r>
      </w:hyperlink>
      <w:r>
        <w:t xml:space="preserve"> - This article discusses how tokenized reinsurance is emerging as a significant frontier for Real World Asset adoption in decentralized finance (DeFi). It highlights the historical opacity of the reinsurance industry, which has traditionally been inaccessible to retail investors due to high minimum investment requirements and closed-off risk pools. The piece emphasizes that tokenization addresses these inefficiencies by allowing investors to access insurance premiums and gain exposure to uncorrelated returns from diversified reinsurance portfolios, thereby enhancing accessibility for both investors and insurers.</w:t>
      </w:r>
      <w:r/>
    </w:p>
    <w:p>
      <w:pPr>
        <w:pStyle w:val="ListNumber"/>
        <w:spacing w:line="240" w:lineRule="auto"/>
        <w:ind w:left="720"/>
      </w:pPr>
      <w:r/>
      <w:hyperlink r:id="rId11">
        <w:r>
          <w:rPr>
            <w:color w:val="0000EE"/>
            <w:u w:val="single"/>
          </w:rPr>
          <w:t>https://defi-planet.com/2025/10/re-integrates-chainlink-proof-of-reserve-to-bolster-transparency-in-onchain-reinsurance/</w:t>
        </w:r>
      </w:hyperlink>
      <w:r>
        <w:t xml:space="preserve"> - This article reports on Re's integration of Chainlink's Proof of Reserve system to enhance transparency in on-chain reinsurance. The integration allows on-chain investors to verify collateralization in real time, merging traditional insurance infrastructure with decentralized finance. By tokenizing collateralized reinsurance pools, Re provides institutional and DeFi investors access to real-world insurance yield while maintaining regulatory safeguards, with Chainlink's Proof of Reserve feeds ensuring continuous, decentralized verification of collateral balances.</w:t>
      </w:r>
      <w:r/>
    </w:p>
    <w:p>
      <w:pPr>
        <w:pStyle w:val="ListNumber"/>
        <w:spacing w:line="240" w:lineRule="auto"/>
        <w:ind w:left="720"/>
      </w:pPr>
      <w:r/>
      <w:hyperlink r:id="rId12">
        <w:r>
          <w:rPr>
            <w:color w:val="0000EE"/>
            <w:u w:val="single"/>
          </w:rPr>
          <w:t>https://cryptoreinsurance.org/2025/11/05/how-on-chain-reinsurance-collateralization-works-full-transparency-with-smart-contracts/</w:t>
        </w:r>
      </w:hyperlink>
      <w:r>
        <w:t xml:space="preserve"> - This article explains how on-chain reinsurance collateralization leverages blockchain technology and smart contracts to provide full transparency and real-time auditing in the insurance capital stack. It details the process of tokenization, where investors deposit stablecoins into blockchain-based smart contracts, receiving yield-bearing tokens representing fractional ownership in diversified reinsurance portfolios. The piece also discusses the role of proof-of-reserves mechanisms using decentralized oracles to publish real-time data feeds about trust account balances, premium inflows, and claim outflows directly onto the blockchain, ensuring continuous monitoring and reducing counterparty risk.</w:t>
      </w:r>
      <w:r/>
    </w:p>
    <w:p>
      <w:pPr>
        <w:pStyle w:val="ListNumber"/>
        <w:spacing w:line="240" w:lineRule="auto"/>
        <w:ind w:left="720"/>
      </w:pPr>
      <w:r/>
      <w:hyperlink r:id="rId13">
        <w:r>
          <w:rPr>
            <w:color w:val="0000EE"/>
            <w:u w:val="single"/>
          </w:rPr>
          <w:t>https://www.prnewswire.com/news-releases/re-the-worlds-first-blockchain-powered-reinsurer-raises-a-14m-seed-round-to-build-a-decentralized-global-reinsurance-market-301635662.html</w:t>
        </w:r>
      </w:hyperlink>
      <w:r>
        <w:t xml:space="preserve"> - This press release announces the launch of Re, the world's first blockchain-powered reinsurer, alongside a $14 million seed round with participation from various investors. Built on the Avalanche blockchain, Re aims to provide investors with access to a massive and uncorrelated asset class: insurance premiums. The protocol seeks to build a decentralized global insurance transaction layer that settles any kind of insurance risk, offering transparency to regulators, partners, and investors, while reducing administrative overhead and delivering cost savings to insurance companies and policyholders.</w:t>
      </w:r>
      <w:r/>
    </w:p>
    <w:p>
      <w:pPr>
        <w:pStyle w:val="ListNumber"/>
        <w:spacing w:line="240" w:lineRule="auto"/>
        <w:ind w:left="720"/>
      </w:pPr>
      <w:r/>
      <w:hyperlink r:id="rId14">
        <w:r>
          <w:rPr>
            <w:color w:val="0000EE"/>
            <w:u w:val="single"/>
          </w:rPr>
          <w:t>https://medium.com/@sherief.mursyidi/advantages-of-implementing-blockchain-in-insurance-690a945e9e1</w:t>
        </w:r>
      </w:hyperlink>
      <w:r>
        <w:t xml:space="preserve"> - This article discusses the advantages of implementing blockchain technology in the insurance industry, focusing on enhanced transparency and trust. It explains how blockchain's transparent and immutable nature allows all participants to view reinsurance contracts, ensuring visibility into terms, conditions, and claims settlements. This transparency fosters trust among reinsurers, primary insurers, and clients, promoting fair practices and reducing disputes. Additionally, the article highlights how blockchain eliminates the potential for data manipulation or fraud, further enhancing confidence in the reinsurance process.</w:t>
      </w:r>
      <w:r/>
    </w:p>
    <w:p>
      <w:pPr>
        <w:pStyle w:val="ListNumber"/>
        <w:spacing w:line="240" w:lineRule="auto"/>
        <w:ind w:left="720"/>
      </w:pPr>
      <w:r/>
      <w:hyperlink r:id="rId10">
        <w:r>
          <w:rPr>
            <w:color w:val="0000EE"/>
            <w:u w:val="single"/>
          </w:rPr>
          <w:t>https://news.cognizant.com/2019-05-21-Blockchain-Could-be-the-Solution-to-Reducing-Inefficiencies-in-the-Reinsurance-Industry</w:t>
        </w:r>
      </w:hyperlink>
      <w:r>
        <w:t xml:space="preserve"> - This article explores how blockchain technology can address inefficiencies in the reinsurance industry. It highlights the lack of a central repository for stakeholders to view the latest reinsurance contracts, leading to data disparities and impeding trust. The piece discusses how blockchain can streamline reinsurance transactions by reducing manual tasks, eliminating frictional costs, and improving auditability. It also notes that blockchain solutions could potentially remove 15-25% of reinsurance expenses, saving the industry between $5 billion and $10 billion.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ancemagnates.com/cryptocurrency/retail-investors-tap-trillion-dollar-reinsurance-markets-via-tokenized-defi-platforms/" TargetMode="External"/><Relationship Id="rId10" Type="http://schemas.openxmlformats.org/officeDocument/2006/relationships/hyperlink" Target="https://news.cognizant.com/2019-05-21-Blockchain-Could-be-the-Solution-to-Reducing-Inefficiencies-in-the-Reinsurance-Industry" TargetMode="External"/><Relationship Id="rId11" Type="http://schemas.openxmlformats.org/officeDocument/2006/relationships/hyperlink" Target="https://defi-planet.com/2025/10/re-integrates-chainlink-proof-of-reserve-to-bolster-transparency-in-onchain-reinsurance/" TargetMode="External"/><Relationship Id="rId12" Type="http://schemas.openxmlformats.org/officeDocument/2006/relationships/hyperlink" Target="https://cryptoreinsurance.org/2025/11/05/how-on-chain-reinsurance-collateralization-works-full-transparency-with-smart-contracts/" TargetMode="External"/><Relationship Id="rId13" Type="http://schemas.openxmlformats.org/officeDocument/2006/relationships/hyperlink" Target="https://www.prnewswire.com/news-releases/re-the-worlds-first-blockchain-powered-reinsurer-raises-a-14m-seed-round-to-build-a-decentralized-global-reinsurance-market-301635662.html" TargetMode="External"/><Relationship Id="rId14" Type="http://schemas.openxmlformats.org/officeDocument/2006/relationships/hyperlink" Target="https://medium.com/@sherief.mursyidi/advantages-of-implementing-blockchain-in-insurance-690a945e9e1"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