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Tuvalor Exchange shifts focus to compliance and institutional readiness amid regulatory milestones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Tuvalor Exchange has repositioned itself as a compliance-first digital-asset trading platform, saying it will prioritise regulatory alignment, operational transparency and institutional-grade infrastructure as the centrepiece of a refreshed global brand. According to the original report, the company describes the shift as a move from a technology-focused trading venue toward a regulated financial institution designed to attract both institutional and retail customers. </w:t>
      </w:r>
      <w:hyperlink r:id="rId9">
        <w:r>
          <w:rPr>
            <w:color w:val="0000EE"/>
            <w:u w:val="single"/>
          </w:rPr>
          <w:t>[1]</w:t>
        </w:r>
      </w:hyperlink>
      <w:r/>
    </w:p>
    <w:p>
      <w:r/>
      <w:r>
        <w:t xml:space="preserve">The company says it holds a Money Services Business (MSB) licence with the U.S. Financial Crimes Enforcement Network (FinCEN) and is registered with the U.S. Securities and Exchange Commission (SEC), steps the firm highlights as foundational to operating across U.S. jurisdictions. In Europe, Tuvalor is said to be advancing preparations to align with the EU Markets in Crypto‑Assets Regulation (MiCA), with an internal timetable that expects a European compliance framework to be finalised by late 2025. These regulatory milestones are presented as part of a multi‑layered approach to legal market access and cross‑border transparency. </w:t>
      </w:r>
      <w:hyperlink r:id="rId9">
        <w:r>
          <w:rPr>
            <w:color w:val="0000EE"/>
            <w:u w:val="single"/>
          </w:rPr>
          <w:t>[1]</w:t>
        </w:r>
      </w:hyperlink>
      <w:hyperlink r:id="rId9">
        <w:r>
          <w:rPr>
            <w:color w:val="0000EE"/>
            <w:u w:val="single"/>
          </w:rPr>
          <w:t>[2]</w:t>
        </w:r>
      </w:hyperlink>
      <w:r/>
    </w:p>
    <w:p>
      <w:r/>
      <w:r>
        <w:t xml:space="preserve">Tuvalor describes a suite of institutional‑grade security and compliance technologies underpinning the repositioning. The platform’s announced upgrades include segregated custody for client funds, automated AML/KYC screening, an AI‑powered risk‑monitoring engine and distributed global nodes to bolster resilience and latency. A complementary disclosure in related reporting highlights a dedicated global latency optimisation layer, distributed acceleration nodes, intelligent traffic balancing and adaptive load handling, intended to reduce cross‑regional delays and improve real‑time processing for both institutional and retail trading.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The exchange has also announced a Transparency &amp; Reporting Initiative to formalise how it communicates operational indicators and risk posture to users. According to the company, the programme will create multi‑tiered reporting categories, cross‑functional review groups and strengthened documentation standards; Tuvalor plans to publish quarterly transparency summaries and an annual transparency &amp; reporting report beginning in 2026. The initiative is framed as part of the broader brand pivot toward accountability and continuous disclosure. </w:t>
      </w:r>
      <w:hyperlink r:id="rId11">
        <w:r>
          <w:rPr>
            <w:color w:val="0000EE"/>
            <w:u w:val="single"/>
          </w:rPr>
          <w:t>[4]</w:t>
        </w:r>
      </w:hyperlink>
      <w:r/>
    </w:p>
    <w:p>
      <w:r/>
      <w:r>
        <w:t xml:space="preserve">Industry context suggests Tuvalor’s path is consistent with a wider trend among digital‑asset platforms seeking federal recognition and licences to reassure institutional partners. Other exchanges publicly disclosed in 2025 that they had secured MSB licences and, in some cases, SEC registrations to enable fiat rails, tokenised securities and regulated activity in the United States. Those peers have similarly emphasised AML/KYC and CFT controls as part of market entry and business development strategies. Observers say such credentials are increasingly viewed as prerequisites for institutional custody, settlement and liquidity‑provision arrangements. </w:t>
      </w:r>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Tuvalor’s public narrative stresses cooperation with regulators and regional market institutions as central to sustaining a "transparent, secure and globally aligned" digital financial ecosystem. Industry data and comparable exchange disclosures, however, indicate that holding registrations and announcing compliance roadmaps are necessary but not sufficient: operationalising those commitments, through regulatory approvals, auditability of claims, and demonstrable third‑party attestations, remains the practical test for market trust. </w:t>
      </w:r>
      <w:hyperlink r:id="rId9">
        <w:r>
          <w:rPr>
            <w:color w:val="0000EE"/>
            <w:u w:val="single"/>
          </w:rPr>
          <w:t>[1]</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As the platform executes its roadmap, the company positions the combination of RegTech, latency optimisation and formal reporting as the pillars that will enable it to scale in multiple jurisdictions while courting institutional counterparties. The coming months, including the stated European MiCA timeline and the 2026 transparency reporting cadence, will be the immediate markers by which market participants and regulators judge whether the repositioning translates into durable operational and compliance outcomes. </w:t>
      </w:r>
      <w:hyperlink r:id="rId9">
        <w:r>
          <w:rPr>
            <w:color w:val="0000EE"/>
            <w:u w:val="single"/>
          </w:rPr>
          <w:t>[1]</w:t>
        </w:r>
      </w:hyperlink>
      <w:hyperlink r:id="rId9">
        <w:r>
          <w:rPr>
            <w:color w:val="0000EE"/>
            <w:u w:val="single"/>
          </w:rPr>
          <w:t>[2]</w:t>
        </w:r>
      </w:hyperlink>
      <w:hyperlink r:id="rId10">
        <w:r>
          <w:rPr>
            <w:color w:val="0000EE"/>
            <w:u w:val="single"/>
          </w:rPr>
          <w:t>[3]</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(24-7 Press Release) - Paragraph 1, Paragraph 2, Paragraph 3, Paragraph 6, Paragraph 7 </w:t>
      </w:r>
      <w:r/>
    </w:p>
    <w:p>
      <w:pPr>
        <w:pStyle w:val="ListBullet"/>
        <w:spacing w:line="240" w:lineRule="auto"/>
        <w:ind w:left="720"/>
      </w:pPr>
      <w:r/>
      <w:hyperlink r:id="rId9">
        <w:r>
          <w:rPr>
            <w:color w:val="0000EE"/>
            <w:u w:val="single"/>
          </w:rPr>
          <w:t>[2]</w:t>
        </w:r>
      </w:hyperlink>
      <w:r>
        <w:t xml:space="preserve"> (24-7 Press Release , alternate summary) - Paragraph 2, Paragraph 3 </w:t>
      </w:r>
      <w:r/>
    </w:p>
    <w:p>
      <w:pPr>
        <w:pStyle w:val="ListBullet"/>
        <w:spacing w:line="240" w:lineRule="auto"/>
        <w:ind w:left="720"/>
      </w:pPr>
      <w:r/>
      <w:hyperlink r:id="rId10">
        <w:r>
          <w:rPr>
            <w:color w:val="0000EE"/>
            <w:u w:val="single"/>
          </w:rPr>
          <w:t>[3]</w:t>
        </w:r>
      </w:hyperlink>
      <w:r>
        <w:t xml:space="preserve"> (Digital Journal) - Paragraph 3, Paragraph 7 </w:t>
      </w:r>
      <w:r/>
    </w:p>
    <w:p>
      <w:pPr>
        <w:pStyle w:val="ListBullet"/>
        <w:spacing w:line="240" w:lineRule="auto"/>
        <w:ind w:left="720"/>
      </w:pPr>
      <w:r/>
      <w:hyperlink r:id="rId11">
        <w:r>
          <w:rPr>
            <w:color w:val="0000EE"/>
            <w:u w:val="single"/>
          </w:rPr>
          <w:t>[4]</w:t>
        </w:r>
      </w:hyperlink>
      <w:r>
        <w:t xml:space="preserve"> (PR Newswire) - Paragraph 4, Paragraph 6, Paragraph 7 </w:t>
      </w:r>
      <w:r/>
    </w:p>
    <w:p>
      <w:pPr>
        <w:pStyle w:val="ListBullet"/>
        <w:spacing w:line="240" w:lineRule="auto"/>
        <w:ind w:left="720"/>
      </w:pPr>
      <w:r/>
      <w:hyperlink r:id="rId12">
        <w:r>
          <w:rPr>
            <w:color w:val="0000EE"/>
            <w:u w:val="single"/>
          </w:rPr>
          <w:t>[5]</w:t>
        </w:r>
      </w:hyperlink>
      <w:r>
        <w:t xml:space="preserve"> (GlobeNewswire , ELTFV) - Paragraph 5, Paragraph 6 </w:t>
      </w:r>
      <w:r/>
    </w:p>
    <w:p>
      <w:pPr>
        <w:pStyle w:val="ListBullet"/>
        <w:spacing w:line="240" w:lineRule="auto"/>
        <w:ind w:left="720"/>
      </w:pPr>
      <w:r/>
      <w:hyperlink r:id="rId13">
        <w:r>
          <w:rPr>
            <w:color w:val="0000EE"/>
            <w:u w:val="single"/>
          </w:rPr>
          <w:t>[6]</w:t>
        </w:r>
      </w:hyperlink>
      <w:r>
        <w:t xml:space="preserve"> (GlobeNewswire , Tocexa) - Paragraph 5, Paragraph 6 </w:t>
      </w:r>
      <w:r/>
    </w:p>
    <w:p>
      <w:pPr>
        <w:pStyle w:val="ListBullet"/>
        <w:spacing w:line="240" w:lineRule="auto"/>
        <w:ind w:left="720"/>
      </w:pPr>
      <w:r/>
      <w:hyperlink r:id="rId14">
        <w:r>
          <w:rPr>
            <w:color w:val="0000EE"/>
            <w:u w:val="single"/>
          </w:rPr>
          <w:t>[7]</w:t>
        </w:r>
      </w:hyperlink>
      <w:r>
        <w:t xml:space="preserve"> (GlobeNewswire , BCB EXCHANGE)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https://www.24-7pressrelease.com/press_release/529630/tuvalor-exchange-unveils-new-global-brand-strategy-focused-on-compliance-and-institutional-infrastructure</w:t>
        </w:r>
      </w:hyperlink>
      <w:r>
        <w:t xml:space="preserve"> - Please view link - unable to able to access data</w:t>
      </w:r>
      <w:r/>
    </w:p>
    <w:p>
      <w:pPr>
        <w:pStyle w:val="ListNumber"/>
        <w:spacing w:line="240" w:lineRule="auto"/>
        <w:ind w:left="720"/>
      </w:pPr>
      <w:r/>
      <w:hyperlink r:id="rId9">
        <w:r>
          <w:rPr>
            <w:color w:val="0000EE"/>
            <w:u w:val="single"/>
          </w:rPr>
          <w:t>https://www.24-7pressrelease.com/press_release/529630/tuvalor-exchange-unveils-new-global-brand-strategy-focused-on-compliance-and-institutional-infrastructure</w:t>
        </w:r>
      </w:hyperlink>
      <w:r>
        <w:t xml:space="preserve"> - Tuvalor Exchange has introduced a renewed global brand strategy centred on regulatory compliance, transparency, and institutional-grade infrastructure. The company holds a Money Services Business (MSB) licence under the U.S. Financial Crimes Enforcement Network (FinCEN) and is registered with the U.S. Securities and Exchange Commission (SEC). In Europe, Tuvalor is advancing compliance preparations aligned with the EU Markets in Crypto-Assets Regulation (MiCA), aiming to finalise its European compliance framework by late 2025. The platform's upgraded infrastructure integrates financial-grade security with AI-driven regulatory technologies, including segregated asset custody, automated AML/KYC systems, AI-powered risk monitoring, and distributed global nodes for improved speed and system resilience. Tuvalor aims to promote a transparent, secure, and globally aligned digital financial ecosystem, marking its transition from a technology-focused trading platform to a compliance-oriented global financial institution.</w:t>
      </w:r>
      <w:r/>
    </w:p>
    <w:p>
      <w:pPr>
        <w:pStyle w:val="ListNumber"/>
        <w:spacing w:line="240" w:lineRule="auto"/>
        <w:ind w:left="720"/>
      </w:pPr>
      <w:r/>
      <w:hyperlink r:id="rId10">
        <w:r>
          <w:rPr>
            <w:color w:val="0000EE"/>
            <w:u w:val="single"/>
          </w:rPr>
          <w:t>https://www.digitaljournal.com/pr/news/revupmarketer/tuvalor-exchange-deploys-advanced-global-1834079588.html</w:t>
        </w:r>
      </w:hyperlink>
      <w:r>
        <w:t xml:space="preserve"> - Tuvalor Exchange has launched a new global latency optimisation layer, enhancing the platform's real-time processing capabilities and international network performance. This upgrade strengthens Tuvalor Exchange's ability to deliver consistent, low-latency trading experiences for users across multiple regions. The initiative is part of Tuvalor Exchange's expanded infrastructure roadmap, focusing on system reliability, global synchronisation, and high-performance architecture suitable for both institutional and retail users. The optimisation layer integrates distributed network acceleration nodes, intelligent traffic balancing, enhanced message propagation protocols, and an adaptive load-handling framework to improve system responsiveness and reduce cross-regional delays.</w:t>
      </w:r>
      <w:r/>
    </w:p>
    <w:p>
      <w:pPr>
        <w:pStyle w:val="ListNumber"/>
        <w:spacing w:line="240" w:lineRule="auto"/>
        <w:ind w:left="720"/>
      </w:pPr>
      <w:r/>
      <w:hyperlink r:id="rId11">
        <w:r>
          <w:rPr>
            <w:color w:val="0000EE"/>
            <w:u w:val="single"/>
          </w:rPr>
          <w:t>https://www.prnewswire.com/news-releases/tuvalor-exchange-introduces-new-transparency--reporting-initiative-for-global-users-302630103.html</w:t>
        </w:r>
      </w:hyperlink>
      <w:r>
        <w:t xml:space="preserve"> - Tuvalor Exchange has introduced a comprehensive Transparency &amp; Reporting Initiative, expanding the platform's commitment to open communication, operational clarity, and user-centred accountability. This initiative formalises how Tuvalor communicates key operational and service indicators to its global user base, introducing multi-tiered reporting categories, including platform operations reporting. The initiative also establishes internal cross-functional review groups to assess operational risks and user-impact factors, strengthens documentation standards, integrates data-driven oversight tools, and reinforces ethical communication principles. Beginning in 2026, Tuvalor will publish quarterly transparency summaries and an annual transparency &amp; reporting report to provide users with continuous visibility into the platform's operations.</w:t>
      </w:r>
      <w:r/>
    </w:p>
    <w:p>
      <w:pPr>
        <w:pStyle w:val="ListNumber"/>
        <w:spacing w:line="240" w:lineRule="auto"/>
        <w:ind w:left="720"/>
      </w:pPr>
      <w:r/>
      <w:hyperlink r:id="rId12">
        <w:r>
          <w:rPr>
            <w:color w:val="0000EE"/>
            <w:u w:val="single"/>
          </w:rPr>
          <w:t>https://www.globenewswire.com/fr/news-release/2025/03/11/3040685/0/en/ELTFV-Exchange-Acquires-U-S-MSB-License-Advancing-Compliance-Efforts-Steadily.html</w:t>
        </w:r>
      </w:hyperlink>
      <w:r>
        <w:t xml:space="preserve"> - ELTFV Exchange has obtained the Money Services Business (MSB) licence issued by the U.S. Financial Crimes Enforcement Network (FinCEN), marking a critical step forward in its compliance operations. The platform has met U.S. federal requirements for Anti-Money Laundering (AML), Know Your Customer (KYC), and Combating the Financing of Terrorism (CFT), while actively adhering to the international financial services regulatory framework. This milestone demonstrates ELTFV Exchange's strategic vision for expanding into global markets and reflects its strong commitment to safeguarding user rights and fund security. The acquisition of the MSB licence signifies that ELTFV's operational standards in areas such as anti-money laundering, combating the financing of terrorism, and user data protection have achieved internationally recognised levels.</w:t>
      </w:r>
      <w:r/>
    </w:p>
    <w:p>
      <w:pPr>
        <w:pStyle w:val="ListNumber"/>
        <w:spacing w:line="240" w:lineRule="auto"/>
        <w:ind w:left="720"/>
      </w:pPr>
      <w:r/>
      <w:hyperlink r:id="rId13">
        <w:r>
          <w:rPr>
            <w:color w:val="0000EE"/>
            <w:u w:val="single"/>
          </w:rPr>
          <w:t>https://www.globenewswire.com/news-release/2025/06/02/3091524/0/en/Tocexa-Crypto-Exchange-Limited-Secures-SEC-and-MSB-Licenses-Advancing-Global-Compliance-Strategy.html</w:t>
        </w:r>
      </w:hyperlink>
      <w:r>
        <w:t xml:space="preserve"> - Tocexa Crypto Exchange Limited has completed registration with the U.S. Securities and Exchange Commission (SEC) and secured its Money Services Business (MSB) licence from the Financial Crimes Enforcement Network (FinCEN). Tocexa's SEC registration authorises the platform to conduct regulated activities involving U.S. stocks, ETFs, tokenised securities, and compliant digital assets. Simultaneously, Tocexa obtained its MSB licence, empowering the company to offer fiat-to-crypto exchange, remittance, and money transmission services in all U.S. states and territories. These dual federal credentials solidify Tocexa’s role as a compliant and secure infrastructure provider for the tokenised finance ecosystem, enabling seamless integration with the traditional financial system and paving the way for institutional partnerships and regulated digital securities onboarding.</w:t>
      </w:r>
      <w:r/>
    </w:p>
    <w:p>
      <w:pPr>
        <w:pStyle w:val="ListNumber"/>
        <w:spacing w:line="240" w:lineRule="auto"/>
        <w:ind w:left="720"/>
      </w:pPr>
      <w:r/>
      <w:hyperlink r:id="rId14">
        <w:r>
          <w:rPr>
            <w:color w:val="0000EE"/>
            <w:u w:val="single"/>
          </w:rPr>
          <w:t>https://www.globenewswire.com/news-release/2025/11/03/3179106/0/en/BCB-EXCHANGE-Launches-U-S-Crypto-Platform-with-FinCEN-MSB-Registration-Drawing-on-European-Institutional-Expertise.html</w:t>
        </w:r>
      </w:hyperlink>
      <w:r>
        <w:t xml:space="preserve"> - BCB EXCHANGE Corp. has launched its U.S. operations with a Money Services Business (MSB) registration from the Financial Crimes Enforcement Network (FinCEN), bringing a new standard of institutional-grade security and compliance to the American retail market. The company leverages deep institutional heritage from one of Europe's most respected B2B financial services providers, renowned for delivering critical payment rails, FX, and settlement infrastructure to the world’s top-tier institutions. BCB EXCHANGE adapts this proven expertise in payment clearing, trade liquidity management, and robust security architecture for the U.S. market, aiming to provide a secure and compliant trading environment for U.S.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7pressrelease.com/press_release/529630/tuvalor-exchange-unveils-new-global-brand-strategy-focused-on-compliance-and-institutional-infrastructure" TargetMode="External"/><Relationship Id="rId10" Type="http://schemas.openxmlformats.org/officeDocument/2006/relationships/hyperlink" Target="https://www.digitaljournal.com/pr/news/revupmarketer/tuvalor-exchange-deploys-advanced-global-1834079588.html" TargetMode="External"/><Relationship Id="rId11" Type="http://schemas.openxmlformats.org/officeDocument/2006/relationships/hyperlink" Target="https://www.prnewswire.com/news-releases/tuvalor-exchange-introduces-new-transparency--reporting-initiative-for-global-users-302630103.html" TargetMode="External"/><Relationship Id="rId12" Type="http://schemas.openxmlformats.org/officeDocument/2006/relationships/hyperlink" Target="https://www.globenewswire.com/fr/news-release/2025/03/11/3040685/0/en/ELTFV-Exchange-Acquires-U-S-MSB-License-Advancing-Compliance-Efforts-Steadily.html" TargetMode="External"/><Relationship Id="rId13" Type="http://schemas.openxmlformats.org/officeDocument/2006/relationships/hyperlink" Target="https://www.globenewswire.com/news-release/2025/06/02/3091524/0/en/Tocexa-Crypto-Exchange-Limited-Secures-SEC-and-MSB-Licenses-Advancing-Global-Compliance-Strategy.html" TargetMode="External"/><Relationship Id="rId14" Type="http://schemas.openxmlformats.org/officeDocument/2006/relationships/hyperlink" Target="https://www.globenewswire.com/news-release/2025/11/03/3179106/0/en/BCB-EXCHANGE-Launches-U-S-Crypto-Platform-with-FinCEN-MSB-Registration-Drawing-on-European-Institutional-Expertise.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