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WTW’s $1.3 billion acquisition of Newfront signals bold move into US middle market and digital broking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Global broker WTW has agreed to acquire San Francisco-based Newfront in a transaction valued at up to $1.3 billion, a move the company says will deepen its reach in the US middle market and strengthen capabilities in high-growth specialties such as technology, fintech and life sciences. According to the original report, the deal comprises an upfront $1.05 billion consideration, roughly $900 million in cash and $150 million in equity payable to Newfront employee-shareholders, and contingent consideration of up to $250 million, primarily in equity, tied to performance targets.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WTW said the transaction also includes the potential for an incremental equity payout of up to $150 million if Newfront delivers above-target revenue growth, along with equity-based retention awards totalling $100 million for Newfront employees through 2031. The companies expect the agreement to close in the first quarter of 2026, subject to regulatory approvals and customary closing conditions. </w:t>
      </w:r>
      <w:hyperlink r:id="rId9">
        <w:r>
          <w:rPr>
            <w:color w:val="0000EE"/>
            <w:u w:val="single"/>
          </w:rPr>
          <w:t>[1]</w:t>
        </w:r>
      </w:hyperlink>
      <w:hyperlink r:id="rId11">
        <w:r>
          <w:rPr>
            <w:color w:val="0000EE"/>
            <w:u w:val="single"/>
          </w:rPr>
          <w:t>[3]</w:t>
        </w:r>
      </w:hyperlink>
      <w:hyperlink r:id="rId12">
        <w:r>
          <w:rPr>
            <w:color w:val="0000EE"/>
            <w:u w:val="single"/>
          </w:rPr>
          <w:t>[4]</w:t>
        </w:r>
      </w:hyperlink>
      <w:r/>
    </w:p>
    <w:p>
      <w:r/>
      <w:r>
        <w:t xml:space="preserve">The acquisition will fold Newfront’s Business Insurance and Total Rewards segments into WTW’s Risk &amp; Broking (R&amp;B) and Health, Wealth &amp; Career (HWC) businesses respectively, bringing more than 120 producers and Newfront’s client-facing technology into WTW’s platform. Industry reporting highlights that Newfront has grown organically at about a 20% compound annual growth rate between 2018 and 2024, driven by an expanding producer base and proprietary technologies. </w:t>
      </w:r>
      <w:hyperlink r:id="rId9">
        <w:r>
          <w:rPr>
            <w:color w:val="0000EE"/>
            <w:u w:val="single"/>
          </w:rPr>
          <w:t>[1]</w:t>
        </w:r>
      </w:hyperlink>
      <w:hyperlink r:id="rId11">
        <w:r>
          <w:rPr>
            <w:color w:val="0000EE"/>
            <w:u w:val="single"/>
          </w:rPr>
          <w:t>[3]</w:t>
        </w:r>
      </w:hyperlink>
      <w:r/>
    </w:p>
    <w:p>
      <w:r/>
      <w:r>
        <w:t xml:space="preserve">WTW expects run-rate cost synergies of approximately $35 million by the end of 2028, attributing savings largely to technology-driven efficiencies and overhead optimisation across both firms. The company also said it will incur roughly $25 million of transaction expenses and about $100 million of cash integration costs, covering technology integration, systems alignment and employee-related items, together with approximately $30 million of one‑time non‑cash charges. </w:t>
      </w:r>
      <w:hyperlink r:id="rId9">
        <w:r>
          <w:rPr>
            <w:color w:val="0000EE"/>
            <w:u w:val="single"/>
          </w:rPr>
          <w:t>[1]</w:t>
        </w:r>
      </w:hyperlink>
      <w:hyperlink r:id="rId11">
        <w:r>
          <w:rPr>
            <w:color w:val="0000EE"/>
            <w:u w:val="single"/>
          </w:rPr>
          <w:t>[3]</w:t>
        </w:r>
      </w:hyperlink>
      <w:r/>
    </w:p>
    <w:p>
      <w:r/>
      <w:r>
        <w:t xml:space="preserve">Both firms emphasised the strategic fit of their technology stacks. According to the announcement, Newfront’s client interface, Navigator, and its “agentic AI-driven placement automation” will be combined with WTW’s digital trading platform (Neuron), risk models, data analytics and digital submission capabilities to build an “end-to-end digital ecosystem” aimed at faster execution, improved sales productivity, more scalable middle‑market support and enhanced cross‑sell. WTW framed the deal as accelerating its technology roadmap and amplifying specialised broking capabilities. </w:t>
      </w:r>
      <w:hyperlink r:id="rId9">
        <w:r>
          <w:rPr>
            <w:color w:val="0000EE"/>
            <w:u w:val="single"/>
          </w:rPr>
          <w:t>[1]</w:t>
        </w:r>
      </w:hyperlink>
      <w:hyperlink r:id="rId11">
        <w:r>
          <w:rPr>
            <w:color w:val="0000EE"/>
            <w:u w:val="single"/>
          </w:rPr>
          <w:t>[3]</w:t>
        </w:r>
      </w:hyperlink>
      <w:r/>
    </w:p>
    <w:p>
      <w:r/>
      <w:r>
        <w:t xml:space="preserve">Carl Hess, WTW’s Chief Executive Officer, said: “We’re delighted to welcome Newfront to the WTW team as we take an important step forward in executing on our strategy through a transaction that will drive value creation for our clients, colleagues and shareholders. The Newfront team has built a broking business, powered by exceptional technology that offers a smart, fast and efficient client experience and complements our own technology investments. This combination strengthens our presence in the U.S. middle market, accelerates our technology and specialty strategies, and enables the delivery of an integrated, end-to-end technology platform that will drive growth, enhance operational efficiency and better serve our clients.” The company issued the quote in its official release. </w:t>
      </w:r>
      <w:hyperlink r:id="rId9">
        <w:r>
          <w:rPr>
            <w:color w:val="0000EE"/>
            <w:u w:val="single"/>
          </w:rPr>
          <w:t>[1]</w:t>
        </w:r>
      </w:hyperlink>
      <w:r/>
    </w:p>
    <w:p>
      <w:r/>
      <w:r>
        <w:t xml:space="preserve">Newfront co-founder and chief executive Spike Lipkin said: “Newfront is excited to join WTW and combine our technology-native approach to insurance broking with WTW’s global presence and established trading, analytics and broking platforms. WTW’s culture and strategic focus on specialization and technology are a strong fit for Newfront, and we will work together to bring an innovative and efficient broking experience to our combined global client base. We will continue to serve our clients with the speed and intelligence they expect and will offer new capabilities enabled by WTW’s comprehensive portfolio of global solutions and products.” The statement appeared in Newfront and WTW announcements. </w:t>
      </w:r>
      <w:hyperlink r:id="rId9">
        <w:r>
          <w:rPr>
            <w:color w:val="0000EE"/>
            <w:u w:val="single"/>
          </w:rPr>
          <w:t>[1]</w:t>
        </w:r>
      </w:hyperlink>
      <w:hyperlink r:id="rId11">
        <w:r>
          <w:rPr>
            <w:color w:val="0000EE"/>
            <w:u w:val="single"/>
          </w:rPr>
          <w:t>[3]</w:t>
        </w:r>
      </w:hyperlink>
      <w:r/>
    </w:p>
    <w:p>
      <w:r/>
      <w:r>
        <w:t xml:space="preserve">Multiple industry wire reports and trade publications corroborated the headline terms and timing of the transaction, noting the same structure of upfront cash and equity and the contingent equity-based earnouts. Market commentary frames the deal as part of a broader wave of consolidation and technology-driven scale plays in insurance broking, where incumbents seek middle‑market distribution and digital capabilities to improve margins and cross-sell potential. </w:t>
      </w:r>
      <w:hyperlink r:id="rId10">
        <w:r>
          <w:rPr>
            <w:color w:val="0000EE"/>
            <w:u w:val="single"/>
          </w:rPr>
          <w:t>[2]</w:t>
        </w:r>
      </w:hyperlink>
      <w:hyperlink r:id="rId12">
        <w:r>
          <w:rPr>
            <w:color w:val="0000EE"/>
            <w:u w:val="single"/>
          </w:rPr>
          <w:t>[4]</w:t>
        </w:r>
      </w:hyperlink>
      <w:hyperlink r:id="rId13">
        <w:r>
          <w:rPr>
            <w:color w:val="0000EE"/>
            <w:u w:val="single"/>
          </w:rPr>
          <w:t>[5]</w:t>
        </w:r>
      </w:hyperlink>
      <w:hyperlink r:id="rId14">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(Reinsurance News) - Paragraph 1, Paragraph 2, Paragraph 3, Paragraph 4, Paragraph 5, Paragraph 6, Paragraph 7 </w:t>
      </w:r>
      <w:r/>
    </w:p>
    <w:p>
      <w:pPr>
        <w:pStyle w:val="ListBullet"/>
        <w:spacing w:line="240" w:lineRule="auto"/>
        <w:ind w:left="720"/>
      </w:pPr>
      <w:r/>
      <w:hyperlink r:id="rId10">
        <w:r>
          <w:rPr>
            <w:color w:val="0000EE"/>
            <w:u w:val="single"/>
          </w:rPr>
          <w:t>[2]</w:t>
        </w:r>
      </w:hyperlink>
      <w:r>
        <w:t xml:space="preserve"> (Reuters) - Paragraph 1, Paragraph 8 </w:t>
      </w:r>
      <w:r/>
    </w:p>
    <w:p>
      <w:pPr>
        <w:pStyle w:val="ListBullet"/>
        <w:spacing w:line="240" w:lineRule="auto"/>
        <w:ind w:left="720"/>
      </w:pPr>
      <w:r/>
      <w:hyperlink r:id="rId11">
        <w:r>
          <w:rPr>
            <w:color w:val="0000EE"/>
            <w:u w:val="single"/>
          </w:rPr>
          <w:t>[3]</w:t>
        </w:r>
      </w:hyperlink>
      <w:r>
        <w:t xml:space="preserve"> (GlobeNewswire) - Paragraph 1, Paragraph 2, Paragraph 4, Paragraph 5, Paragraph 6, Paragraph 7 </w:t>
      </w:r>
      <w:r/>
    </w:p>
    <w:p>
      <w:pPr>
        <w:pStyle w:val="ListBullet"/>
        <w:spacing w:line="240" w:lineRule="auto"/>
        <w:ind w:left="720"/>
      </w:pPr>
      <w:r/>
      <w:hyperlink r:id="rId12">
        <w:r>
          <w:rPr>
            <w:color w:val="0000EE"/>
            <w:u w:val="single"/>
          </w:rPr>
          <w:t>[4]</w:t>
        </w:r>
      </w:hyperlink>
      <w:r>
        <w:t xml:space="preserve"> (Insurance Journal) - Paragraph 2, Paragraph 8 </w:t>
      </w:r>
      <w:r/>
    </w:p>
    <w:p>
      <w:pPr>
        <w:pStyle w:val="ListBullet"/>
        <w:spacing w:line="240" w:lineRule="auto"/>
        <w:ind w:left="720"/>
      </w:pPr>
      <w:r/>
      <w:hyperlink r:id="rId13">
        <w:r>
          <w:rPr>
            <w:color w:val="0000EE"/>
            <w:u w:val="single"/>
          </w:rPr>
          <w:t>[5]</w:t>
        </w:r>
      </w:hyperlink>
      <w:r>
        <w:t xml:space="preserve"> (Finanznachrichten) - Paragraph 8 </w:t>
      </w:r>
      <w:r/>
    </w:p>
    <w:p>
      <w:pPr>
        <w:pStyle w:val="ListBullet"/>
        <w:spacing w:line="240" w:lineRule="auto"/>
        <w:ind w:left="720"/>
      </w:pPr>
      <w:r/>
      <w:hyperlink r:id="rId14">
        <w:r>
          <w:rPr>
            <w:color w:val="0000EE"/>
            <w:u w:val="single"/>
          </w:rPr>
          <w:t>[6]</w:t>
        </w:r>
      </w:hyperlink>
      <w:r>
        <w:t xml:space="preserve"> (StreetInsider/Reuters)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https://www.reinsurancene.ws/wtw-expands-us-middle-market-reach-with-up-to-1-3bn-newfront-acquisition/</w:t>
        </w:r>
      </w:hyperlink>
      <w:r>
        <w:t xml:space="preserve"> - Please view link - unable to able to access data</w:t>
      </w:r>
      <w:r/>
    </w:p>
    <w:p>
      <w:pPr>
        <w:pStyle w:val="ListNumber"/>
        <w:spacing w:line="240" w:lineRule="auto"/>
        <w:ind w:left="720"/>
      </w:pPr>
      <w:r/>
      <w:hyperlink r:id="rId10">
        <w:r>
          <w:rPr>
            <w:color w:val="0000EE"/>
            <w:u w:val="single"/>
          </w:rPr>
          <w:t>https://www.reuters.com/legal/transactional/willis-towers-watson-buy-brokerage-firm-newfront-13-billion-deal-2025-12-10/</w:t>
        </w:r>
      </w:hyperlink>
      <w:r>
        <w:t xml:space="preserve"> - WTW (Willis Towers Watson) has announced its intention to acquire Newfront, a San Francisco-based insurance brokerage, in a deal valued at up to $1.3 billion. The transaction includes an upfront payment of $1.05 billion, comprising approximately $900 million in cash and $150 million in equity, with an additional contingent payout of up to $250 million, primarily in equity. This acquisition aims to enhance WTW's presence in the U.S. middle market and expand its footprint in sectors such as technology, fintech, and life sciences. The deal is expected to close in the first quarter of 2026, pending regulatory approvals. (</w:t>
      </w:r>
      <w:hyperlink r:id="rId16">
        <w:r>
          <w:rPr>
            <w:color w:val="0000EE"/>
            <w:u w:val="single"/>
          </w:rPr>
          <w:t>reuters.com</w:t>
        </w:r>
      </w:hyperlink>
      <w:r>
        <w:t>)</w:t>
      </w:r>
      <w:r/>
    </w:p>
    <w:p>
      <w:pPr>
        <w:pStyle w:val="ListNumber"/>
        <w:spacing w:line="240" w:lineRule="auto"/>
        <w:ind w:left="720"/>
      </w:pPr>
      <w:r/>
      <w:hyperlink r:id="rId11">
        <w:r>
          <w:rPr>
            <w:color w:val="0000EE"/>
            <w:u w:val="single"/>
          </w:rPr>
          <w:t>https://www.globenewswire.com/news-release/2025/12/10/3203007/0/en/WTW-to-Acquire-Newfront-a-Specialized-Broker-Combining-Deep-Expertise-and-Cutting-Edge-Technology.html</w:t>
        </w:r>
      </w:hyperlink>
      <w:r>
        <w:t xml:space="preserve"> - WTW has signed a definitive agreement to acquire Newfront, a top 40 U.S. broker based in San Francisco, for a total consideration of $1.3 billion. The upfront payment of $1.05 billion consists of approximately $900 million in cash and $150 million in equity to be paid to Newfront employee-shareholders. An additional contingent consideration of up to $250 million, primarily in equity, is payable upon Newfront achieving specified performance targets. The acquisition is expected to close during the first quarter of 2026, subject to regulatory approvals and customary closing conditions. (</w:t>
      </w:r>
      <w:hyperlink r:id="rId17">
        <w:r>
          <w:rPr>
            <w:color w:val="0000EE"/>
            <w:u w:val="single"/>
          </w:rPr>
          <w:t>globenewswire.com</w:t>
        </w:r>
      </w:hyperlink>
      <w:r>
        <w:t>)</w:t>
      </w:r>
      <w:r/>
    </w:p>
    <w:p>
      <w:pPr>
        <w:pStyle w:val="ListNumber"/>
        <w:spacing w:line="240" w:lineRule="auto"/>
        <w:ind w:left="720"/>
      </w:pPr>
      <w:r/>
      <w:hyperlink r:id="rId12">
        <w:r>
          <w:rPr>
            <w:color w:val="0000EE"/>
            <w:u w:val="single"/>
          </w:rPr>
          <w:t>https://www.insurancejournal.com/news/national/2025/12/10/850510.htm</w:t>
        </w:r>
      </w:hyperlink>
      <w:r>
        <w:t xml:space="preserve"> - WTW has agreed to acquire Newfront, a San Francisco-based insurance brokerage, in a deal valued at up to $1.3 billion. The transaction includes an upfront payment of $1.05 billion, comprising $900 million in cash and $150 million in equity to be paid to Newfront employee-shareholders. An additional contingent consideration of up to $250 million, primarily in equity, is payable upon Newfront achieving specified performance targets. The acquisition aims to expand WTW's presence in the U.S. middle market and enhance its capabilities in sectors such as technology, ... , and life sciences. The deal is expected to close in the first quarter ... pending regulatory approvals. (</w:t>
      </w:r>
      <w:hyperlink r:id="rId18">
        <w:r>
          <w:rPr>
            <w:color w:val="0000EE"/>
            <w:u w:val="single"/>
          </w:rPr>
          <w:t>insurancejournal.com</w:t>
        </w:r>
      </w:hyperlink>
      <w:r>
        <w:t>)</w:t>
      </w:r>
      <w:r/>
    </w:p>
    <w:p>
      <w:pPr>
        <w:pStyle w:val="ListNumber"/>
        <w:spacing w:line="240" w:lineRule="auto"/>
        <w:ind w:left="720"/>
      </w:pPr>
      <w:r/>
      <w:hyperlink r:id="rId13">
        <w:r>
          <w:rPr>
            <w:color w:val="0000EE"/>
            <w:u w:val="single"/>
          </w:rPr>
          <w:t>https://www.finanznachrichten.de/nachrichten-2025-12/67196210-wtw-to-acquire-newfront-in-deal-valued-up-to-dollar-1-3-billion-020.htm</w:t>
        </w:r>
      </w:hyperlink>
      <w:r>
        <w:t xml:space="preserve"> - WTW has announced a definitive agreement to acquire Newfront, a San Francisco-based insurance brokerage, for a total consideration of $1.3 billion. The upfront payment of $1.05 billion consists of approximately $900 million in cash and ... to be paid to Newfront employee-shareholders. An additional contingent consideration of up to $250 million ... primarily in equity, is payable upon Newfront achieving specified performance targets. The acquisition is expected to close during the first quarter of 202 ... subject to regulatory approvals and customary closing conditions. (</w:t>
      </w:r>
      <w:hyperlink r:id="rId19">
        <w:r>
          <w:rPr>
            <w:color w:val="0000EE"/>
            <w:u w:val="single"/>
          </w:rPr>
          <w:t>finanznachrichten.de</w:t>
        </w:r>
      </w:hyperlink>
      <w:r>
        <w:t>)</w:t>
      </w:r>
      <w:r/>
    </w:p>
    <w:p>
      <w:pPr>
        <w:pStyle w:val="ListNumber"/>
        <w:spacing w:line="240" w:lineRule="auto"/>
        <w:ind w:left="720"/>
      </w:pPr>
      <w:r/>
      <w:hyperlink r:id="rId14">
        <w:r>
          <w:rPr>
            <w:color w:val="0000EE"/>
            <w:u w:val="single"/>
          </w:rPr>
          <w:t>https://www.streetinsider.com/Reuters/WTW+to+buy+brokerage+firm+Newfront+in+up+to+1.3+billion+deal/25720717.html</w:t>
        </w:r>
      </w:hyperlink>
      <w:r>
        <w:t xml:space="preserve"> - WTW has agreed to acquire Newfront, a San Francisco-based insurance brokerage, in a deal valued at up to $1.3 ... . The transaction includes an upfront payment of $1.05 billion, comprising $900 million in cash and ... to be paid to Newfront employee-shareholders. An additional contingent consideration of up to $250 million ... primarily in equity, is payable upon Newfront achieving specified performance targets. The acquisition aims to expand WTW's presence in the U.S. middle market and enhance its capabilities in sectors such as technology, ... , and life sciences. The deal is expected to close in the first quarter ... pending regulatory approvals. (</w:t>
      </w:r>
      <w:hyperlink r:id="rId20">
        <w:r>
          <w:rPr>
            <w:color w:val="0000EE"/>
            <w:u w:val="single"/>
          </w:rPr>
          <w:t>streetinsider.com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insurancene.ws/wtw-expands-us-middle-market-reach-with-up-to-1-3bn-newfront-acquisition/" TargetMode="External"/><Relationship Id="rId10" Type="http://schemas.openxmlformats.org/officeDocument/2006/relationships/hyperlink" Target="https://www.reuters.com/legal/transactional/willis-towers-watson-buy-brokerage-firm-newfront-13-billion-deal-2025-12-10/" TargetMode="External"/><Relationship Id="rId11" Type="http://schemas.openxmlformats.org/officeDocument/2006/relationships/hyperlink" Target="https://www.globenewswire.com/news-release/2025/12/10/3203007/0/en/WTW-to-Acquire-Newfront-a-Specialized-Broker-Combining-Deep-Expertise-and-Cutting-Edge-Technology.html" TargetMode="External"/><Relationship Id="rId12" Type="http://schemas.openxmlformats.org/officeDocument/2006/relationships/hyperlink" Target="https://www.insurancejournal.com/news/national/2025/12/10/850510.htm" TargetMode="External"/><Relationship Id="rId13" Type="http://schemas.openxmlformats.org/officeDocument/2006/relationships/hyperlink" Target="https://www.finanznachrichten.de/nachrichten-2025-12/67196210-wtw-to-acquire-newfront-in-deal-valued-up-to-dollar-1-3-billion-020.htm" TargetMode="External"/><Relationship Id="rId14" Type="http://schemas.openxmlformats.org/officeDocument/2006/relationships/hyperlink" Target="https://www.streetinsider.com/Reuters/WTW+to+buy+brokerage+firm+Newfront+in+up+to+1.3+billion+deal/25720717.html" TargetMode="External"/><Relationship Id="rId15" Type="http://schemas.openxmlformats.org/officeDocument/2006/relationships/hyperlink" Target="https://www.noahwire.com" TargetMode="External"/><Relationship Id="rId16" Type="http://schemas.openxmlformats.org/officeDocument/2006/relationships/hyperlink" Target="https://www.reuters.com/legal/transactional/willis-towers-watson-buy-brokerage-firm-newfront-13-billion-deal-2025-12-10/?utm_source=openai" TargetMode="External"/><Relationship Id="rId17" Type="http://schemas.openxmlformats.org/officeDocument/2006/relationships/hyperlink" Target="https://www.globenewswire.com/news-release/2025/12/10/3203007/0/en/WTW-to-Acquire-Newfront-a-Specialized-Broker-Combining-Deep-Expertise-and-Cutting-Edge-Technology.html?utm_source=openai" TargetMode="External"/><Relationship Id="rId18" Type="http://schemas.openxmlformats.org/officeDocument/2006/relationships/hyperlink" Target="https://www.insurancejournal.com/news/national/2025/12/10/850510.htm?utm_source=openai" TargetMode="External"/><Relationship Id="rId19" Type="http://schemas.openxmlformats.org/officeDocument/2006/relationships/hyperlink" Target="https://www.finanznachrichten.de/nachrichten-2025-12/67196210-wtw-to-acquire-newfront-in-deal-valued-up-to-dollar-1-3-billion-020.htm?utm_source=openai" TargetMode="External"/><Relationship Id="rId20" Type="http://schemas.openxmlformats.org/officeDocument/2006/relationships/hyperlink" Target="https://www.streetinsider.com/Reuters/WTW%2Bto%2Bbuy%2Bbrokerage%2Bfirm%2BNewfront%2Bin%2Bup%2Bto%2B%241.3%2Bbillion%2Bdeal/25720717.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