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AI-driven revolution in anti-money laundering offers new hope for financial compliance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A new academic study warns that legacy anti–money laundering (AML) systems, built on rigid rule-sets, are increasingly outmatched by the scale, speed and ingenuity of modern financial crime, and argues that artificial intelligence offers a necessary path to more accurate, adaptable and sustainable compliance. According to the original report, traditional rule-driven transaction monitoring produces overwhelming false positives and struggles with multi-stage layering, trade-based schemes and new digital-asset tactics, leaving investigators swamped and illicit flows insufficiently challenged. </w:t>
      </w:r>
      <w:hyperlink r:id="rId9">
        <w:r>
          <w:rPr>
            <w:color w:val="0000EE"/>
            <w:u w:val="single"/>
          </w:rPr>
          <w:t>[1]</w:t>
        </w:r>
      </w:hyperlink>
      <w:hyperlink r:id="rId10">
        <w:r>
          <w:rPr>
            <w:color w:val="0000EE"/>
            <w:u w:val="single"/>
          </w:rPr>
          <w:t>[2]</w:t>
        </w:r>
      </w:hyperlink>
      <w:r/>
    </w:p>
    <w:p>
      <w:r/>
      <w:r>
        <w:t xml:space="preserve">The researchers document that machine learning approaches materially improve detection performance across core compliance functions. Ensemble methods combining random forests, sequence models and anomaly detectors reduce false alerts and catch atypical transaction flows more rapidly than static rules, while behavioural models and reinforcement learning bolster fraud defences against account takeovers, card misuse and adversarial attacks. Industry data and vendor examples cited in related analyses suggest accuracy and throughput gains are large: machine-learning fraud systems commonly report accuracy in the mid-to-high 90s, and some advanced deployments claim near-99% performance, with real-time processing rates far exceeding manual review capacity. </w:t>
      </w:r>
      <w:hyperlink r:id="rId9">
        <w:r>
          <w:rPr>
            <w:color w:val="0000EE"/>
            <w:u w:val="single"/>
          </w:rPr>
          <w:t>[1]</w:t>
        </w:r>
      </w:hyperlink>
      <w:hyperlink r:id="rId11">
        <w:r>
          <w:rPr>
            <w:color w:val="0000EE"/>
            <w:u w:val="single"/>
          </w:rPr>
          <w:t>[3]</w:t>
        </w:r>
      </w:hyperlink>
      <w:hyperlink r:id="rId12">
        <w:r>
          <w:rPr>
            <w:color w:val="0000EE"/>
            <w:u w:val="single"/>
          </w:rPr>
          <w:t>[4]</w:t>
        </w:r>
      </w:hyperlink>
      <w:r/>
    </w:p>
    <w:p>
      <w:r/>
      <w:r>
        <w:t xml:space="preserve">Graph-based learning is highlighted as a pivotal advance for tracing illicit networks that span accounts, counterparties and time. The study shows that graph neural networks and graph-enabled retrieval systems reveal multi-node laundering motifs, such as gather–scatter and circular routing, that relational databases and vector-only retrieval struggle to surface. The paper’s proposed Graph RAG architecture, which merges retrieval-augmented generation with explicit graph modelling, demonstrated stronger multi-hop reasoning, evidence precision and factual accuracy in KYC and enhanced due diligence tasks than vector-based alternatives. The authors stress that these methods produce structured evidence trails that improve interpretability for compliance teams. </w:t>
      </w:r>
      <w:hyperlink r:id="rId9">
        <w:r>
          <w:rPr>
            <w:color w:val="0000EE"/>
            <w:u w:val="single"/>
          </w:rPr>
          <w:t>[1]</w:t>
        </w:r>
      </w:hyperlink>
      <w:hyperlink r:id="rId10">
        <w:r>
          <w:rPr>
            <w:color w:val="0000EE"/>
            <w:u w:val="single"/>
          </w:rPr>
          <w:t>[2]</w:t>
        </w:r>
      </w:hyperlink>
      <w:r/>
    </w:p>
    <w:p>
      <w:r/>
      <w:r>
        <w:t xml:space="preserve">Natural language processing and retrieval-augmented workflows are changing how suspicious activity reports (SARs) and KYC narratives are built. The research describes systems that extract entities and typologies from unstructured sources, generate regulator-aligned narratives, and link findings to relevant rules, reducing delays and subjective inconsistencies that have historically weakened filings. Vendors and risk practitioners have reported deployments in which text mining and automated narrative generation markedly accelerated triage and SAR drafting, while visual analytics and human-in-the-loop review preserve defensibility for audits. The study emphasises, however, that explainability and audit trails remain prerequisites for regulatory acceptance. </w:t>
      </w:r>
      <w:hyperlink r:id="rId9">
        <w:r>
          <w:rPr>
            <w:color w:val="0000EE"/>
            <w:u w:val="single"/>
          </w:rPr>
          <w:t>[1]</w:t>
        </w:r>
      </w:hyperlink>
      <w:hyperlink r:id="rId12">
        <w:r>
          <w:rPr>
            <w:color w:val="0000EE"/>
            <w:u w:val="single"/>
          </w:rPr>
          <w:t>[4]</w:t>
        </w:r>
      </w:hyperlink>
      <w:r/>
    </w:p>
    <w:p>
      <w:r/>
      <w:r>
        <w:t xml:space="preserve">The paper also addresses practical and ethical barriers to adoption. Banks’ fragmented legacy stacks require substantial data engineering work to feed AI pipelines, and complex models face scepticism from analysts unless explainability measures are robust. The authors recommend governance frameworks aligned with international standards, privacy-preserving techniques such as federated learning for cross-institution collaboration, and fairness-aware modelling to reduce discriminatory outcomes, echoing industry commentary cautioning that model errors or mis-specified risk profiles can carry regulatory, legal and reputational costs. </w:t>
      </w:r>
      <w:hyperlink r:id="rId9">
        <w:r>
          <w:rPr>
            <w:color w:val="0000EE"/>
            <w:u w:val="single"/>
          </w:rPr>
          <w:t>[1]</w:t>
        </w:r>
      </w:hyperlink>
      <w:hyperlink r:id="rId10">
        <w:r>
          <w:rPr>
            <w:color w:val="0000EE"/>
            <w:u w:val="single"/>
          </w:rPr>
          <w:t>[2]</w:t>
        </w:r>
      </w:hyperlink>
      <w:hyperlink r:id="rId13">
        <w:r>
          <w:rPr>
            <w:color w:val="0000EE"/>
            <w:u w:val="single"/>
          </w:rPr>
          <w:t>[6]</w:t>
        </w:r>
      </w:hyperlink>
      <w:r/>
    </w:p>
    <w:p>
      <w:r/>
      <w:r>
        <w:t xml:space="preserve">Real-world vendor claims illustrate both promise and caveat. Firms offering AI-AML platforms report the ability to detect previously unseen laundering patterns by analysing vast transaction corpora and to automate portions of KYC, SAR generation and sanctions screening; one vendor describes patented mathematical approaches to uncovering unknown schemes. At the same time, the authors and practitioners note that meaningful gains depend on disciplined deployment: human oversight, continuous model validation, calibration against regulatory expectations and investment in staff skills are essential to convert technical performance into sustained compliance outcomes. </w:t>
      </w:r>
      <w:hyperlink r:id="rId14">
        <w:r>
          <w:rPr>
            <w:color w:val="0000EE"/>
            <w:u w:val="single"/>
          </w:rPr>
          <w:t>[7]</w:t>
        </w:r>
      </w:hyperlink>
      <w:hyperlink r:id="rId15">
        <w:r>
          <w:rPr>
            <w:color w:val="0000EE"/>
            <w:u w:val="single"/>
          </w:rPr>
          <w:t>[5]</w:t>
        </w:r>
      </w:hyperlink>
      <w:hyperlink r:id="rId12">
        <w:r>
          <w:rPr>
            <w:color w:val="0000EE"/>
            <w:u w:val="single"/>
          </w:rPr>
          <w:t>[4]</w:t>
        </w:r>
      </w:hyperlink>
      <w:r/>
    </w:p>
    <w:p>
      <w:r/>
      <w:r>
        <w:t xml:space="preserve">Taken together, the evidence assembled by the study and complementary industry sources suggests that AI can lower operational costs, reduce false positives, accelerate case closure and surface high‑risk networks earlier, but only if firms pair technical innovation with sound governance, data readiness and regulatory engagement. The authors conclude that intelligent, explainable AML architectures, including graph-based RAG systems and privacy-preserving collaboration, offer a plausible route to more transparent and resource‑efficient financial systems, while underscoring that responsible adoption remains a non‑trivial organisational challenge. </w:t>
      </w:r>
      <w:hyperlink r:id="rId9">
        <w:r>
          <w:rPr>
            <w:color w:val="0000EE"/>
            <w:u w:val="single"/>
          </w:rPr>
          <w:t>[1]</w:t>
        </w:r>
      </w:hyperlink>
      <w:hyperlink r:id="rId10">
        <w:r>
          <w:rPr>
            <w:color w:val="0000EE"/>
            <w:u w:val="single"/>
          </w:rPr>
          <w:t>[2]</w:t>
        </w:r>
      </w:hyperlink>
      <w:hyperlink r:id="rId11">
        <w:r>
          <w:rPr>
            <w:color w:val="0000EE"/>
            <w:u w:val="single"/>
          </w:rPr>
          <w:t>[3]</w:t>
        </w:r>
      </w:hyperlink>
      <w:hyperlink r:id="rId13">
        <w:r>
          <w:rPr>
            <w:color w:val="0000EE"/>
            <w:u w:val="single"/>
          </w:rPr>
          <w:t>[6]</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(Devdiscourse) - Paragraph 1, Paragraph 2, Paragraph 3, Paragraph 4, Paragraph 5, Paragraph 7 </w:t>
      </w:r>
      <w:r/>
    </w:p>
    <w:p>
      <w:pPr>
        <w:pStyle w:val="ListBullet"/>
        <w:spacing w:line="240" w:lineRule="auto"/>
        <w:ind w:left="720"/>
      </w:pPr>
      <w:r/>
      <w:hyperlink r:id="rId10">
        <w:r>
          <w:rPr>
            <w:color w:val="0000EE"/>
            <w:u w:val="single"/>
          </w:rPr>
          <w:t>[2]</w:t>
        </w:r>
      </w:hyperlink>
      <w:r>
        <w:t xml:space="preserve"> (arXiv) - Paragraph 3, Paragraph 6, Paragraph 7 </w:t>
      </w:r>
      <w:r/>
    </w:p>
    <w:p>
      <w:pPr>
        <w:pStyle w:val="ListBullet"/>
        <w:spacing w:line="240" w:lineRule="auto"/>
        <w:ind w:left="720"/>
      </w:pPr>
      <w:r/>
      <w:hyperlink r:id="rId11">
        <w:r>
          <w:rPr>
            <w:color w:val="0000EE"/>
            <w:u w:val="single"/>
          </w:rPr>
          <w:t>[3]</w:t>
        </w:r>
      </w:hyperlink>
      <w:r>
        <w:t xml:space="preserve"> (AllAboutAI) - Paragraph 2, Paragraph 7 </w:t>
      </w:r>
      <w:r/>
    </w:p>
    <w:p>
      <w:pPr>
        <w:pStyle w:val="ListBullet"/>
        <w:spacing w:line="240" w:lineRule="auto"/>
        <w:ind w:left="720"/>
      </w:pPr>
      <w:r/>
      <w:hyperlink r:id="rId12">
        <w:r>
          <w:rPr>
            <w:color w:val="0000EE"/>
            <w:u w:val="single"/>
          </w:rPr>
          <w:t>[4]</w:t>
        </w:r>
      </w:hyperlink>
      <w:r>
        <w:t xml:space="preserve"> (SAS) - Paragraph 4, Paragraph 6 </w:t>
      </w:r>
      <w:r/>
    </w:p>
    <w:p>
      <w:pPr>
        <w:pStyle w:val="ListBullet"/>
        <w:spacing w:line="240" w:lineRule="auto"/>
        <w:ind w:left="720"/>
      </w:pPr>
      <w:r/>
      <w:hyperlink r:id="rId15">
        <w:r>
          <w:rPr>
            <w:color w:val="0000EE"/>
            <w:u w:val="single"/>
          </w:rPr>
          <w:t>[5]</w:t>
        </w:r>
      </w:hyperlink>
      <w:r>
        <w:t xml:space="preserve"> (Neotas) - Paragraph 6 </w:t>
      </w:r>
      <w:r/>
    </w:p>
    <w:p>
      <w:pPr>
        <w:pStyle w:val="ListBullet"/>
        <w:spacing w:line="240" w:lineRule="auto"/>
        <w:ind w:left="720"/>
      </w:pPr>
      <w:r/>
      <w:hyperlink r:id="rId13">
        <w:r>
          <w:rPr>
            <w:color w:val="0000EE"/>
            <w:u w:val="single"/>
          </w:rPr>
          <w:t>[6]</w:t>
        </w:r>
      </w:hyperlink>
      <w:r>
        <w:t xml:space="preserve"> (Sanctions.io) - Paragraph 6 </w:t>
      </w:r>
      <w:r/>
    </w:p>
    <w:p>
      <w:pPr>
        <w:pStyle w:val="ListBullet"/>
        <w:spacing w:line="240" w:lineRule="auto"/>
        <w:ind w:left="720"/>
      </w:pPr>
      <w:r/>
      <w:hyperlink r:id="rId14">
        <w:r>
          <w:rPr>
            <w:color w:val="0000EE"/>
            <w:u w:val="single"/>
          </w:rPr>
          <w:t>[7]</w:t>
        </w:r>
      </w:hyperlink>
      <w:r>
        <w:t xml:space="preserve"> (ThetaRay) - Paragraph 6</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https://www.devdiscourse.com/article/business/3724194-ai-can-help-combat-trillions-in-global-money-laundering-losses</w:t>
        </w:r>
      </w:hyperlink>
      <w:r>
        <w:t xml:space="preserve"> - Please view link - unable to able to access data</w:t>
      </w:r>
      <w:r/>
    </w:p>
    <w:p>
      <w:pPr>
        <w:pStyle w:val="ListNumber"/>
        <w:spacing w:line="240" w:lineRule="auto"/>
        <w:ind w:left="720"/>
      </w:pPr>
      <w:r/>
      <w:hyperlink r:id="rId10">
        <w:r>
          <w:rPr>
            <w:color w:val="0000EE"/>
            <w:u w:val="single"/>
          </w:rPr>
          <w:t>https://arxiv.org/abs/2512.06240</w:t>
        </w:r>
      </w:hyperlink>
      <w:r>
        <w:t xml:space="preserve"> - This academic paper discusses the application of artificial intelligence (AI) in enhancing anti-money laundering (AML) systems. It highlights how AI can modernise AML workflows by improving detection accuracy, reducing false positives, and decreasing the operational burden of manual investigations. The study also outlines future research directions, including federated learning for privacy-preserving collaboration, fairness-aware and interpretable AI, reinforcement learning for adaptive defences, and human-in-the-loop visualisation systems to ensure that next-generation AML architectures remain transparent, accountable, and robust. Additionally, the paper proposes an AI-driven Know Your Customer (KYC) application that integrates graph-based retrieval-augmented generation (RAG Graph) with generative models to enhance efficiency, transparency, and decision support in KYC processes related to money-laundering detection. Experimental results demonstrate that the RAG-Graph architecture delivers high faithfulness and strong answer relevancy across diverse evaluation settings, thereby enhancing the efficiency and transparency of KYC Customer Due Diligence (CDD) and Enhanced Due Diligence (EDD) workflows and contributing to more sustainable, resource-optimised compliance practices.</w:t>
      </w:r>
      <w:r/>
    </w:p>
    <w:p>
      <w:pPr>
        <w:pStyle w:val="ListNumber"/>
        <w:spacing w:line="240" w:lineRule="auto"/>
        <w:ind w:left="720"/>
      </w:pPr>
      <w:r/>
      <w:hyperlink r:id="rId11">
        <w:r>
          <w:rPr>
            <w:color w:val="0000EE"/>
            <w:u w:val="single"/>
          </w:rPr>
          <w:t>https://www.allaboutai.com/resources/ai-statistics/ai-fraud-detection/</w:t>
        </w:r>
      </w:hyperlink>
      <w:r>
        <w:t xml:space="preserve"> - This article presents statistics on AI's effectiveness in fraud detection. It reports that machine learning fraud detection systems achieve 95% accuracy rates, significantly outperforming traditional rule-based systems, which have accuracy rates between 70-80%. Additionally, AI systems process thousands of alerts per second, compared to minutes or hours required for manual reviews. The performance gap between AI-powered and traditional fraud detection systems has widened to the point where manual review alone is no longer viable for organisations facing industrial-scale fraud. The data reveals a clear technological superiority across every measurable dimension. The article also highlights top-tier performance, with advanced AI fraud detection systems in banking achieving 99.1% accuracy, and machine learning fraud detection averages ranging from 95-98% accuracy.</w:t>
      </w:r>
      <w:r/>
    </w:p>
    <w:p>
      <w:pPr>
        <w:pStyle w:val="ListNumber"/>
        <w:spacing w:line="240" w:lineRule="auto"/>
        <w:ind w:left="720"/>
      </w:pPr>
      <w:r/>
      <w:hyperlink r:id="rId12">
        <w:r>
          <w:rPr>
            <w:color w:val="0000EE"/>
            <w:u w:val="single"/>
          </w:rPr>
          <w:t>https://www.sas.com/en_us/insights/articles/risk-fraud/next-generation-anti-money-laundering.html</w:t>
        </w:r>
      </w:hyperlink>
      <w:r>
        <w:t xml:space="preserve"> - This article discusses the evolution of anti-money laundering (AML) practices, emphasising the integration of artificial intelligence (AI) and machine learning (ML) technologies. It highlights how these technologies automate manual processes like data consumption and analysis, resulting in faster, earlier event detection and scoring. Techniques like natural language processing manage unstructured data and automatically generate suspicious activity report narratives. The article provides examples of financial institutions applying these new approaches, such as a tier-one bank deploying a combination of text mining, image recognition, and ensemble models that processed 9 million transactions, scanned 25 million documents, automated 200 risk typologies, and improved operational efficiency by 25%. Another example is a Tier 1 global bank applying a random forest model with 200 trees to nearly 2 billion transactions, finding 416 suspect entities in 10 minutes, which resulted in dozens of productive cases upon further triage.</w:t>
      </w:r>
      <w:r/>
    </w:p>
    <w:p>
      <w:pPr>
        <w:pStyle w:val="ListNumber"/>
        <w:spacing w:line="240" w:lineRule="auto"/>
        <w:ind w:left="720"/>
      </w:pPr>
      <w:r/>
      <w:hyperlink r:id="rId15">
        <w:r>
          <w:rPr>
            <w:color w:val="0000EE"/>
            <w:u w:val="single"/>
          </w:rPr>
          <w:t>https://www.neotas.com/ai-in-aml-compliance/</w:t>
        </w:r>
      </w:hyperlink>
      <w:r>
        <w:t xml:space="preserve"> - This page from Neotas discusses the role of artificial intelligence (AI) in anti-money laundering (AML) compliance. It explains that AML AI refers to artificial intelligence technologies used in AML compliance, where an AML AI platform uses machine learning, behavioural analytics, and graph intelligence to identify suspicious transactions, detect complex patterns, and reduce false positives. Financial institutions use AML AI software to improve compliance efficiency, automate Suspicious Activity Report (SAR) filing, and meet evolving regulatory requirements. The page also offers a whitepaper for download, providing a deep dive into features, outcomes, and industry use cases of AML AI.</w:t>
      </w:r>
      <w:r/>
    </w:p>
    <w:p>
      <w:pPr>
        <w:pStyle w:val="ListNumber"/>
        <w:spacing w:line="240" w:lineRule="auto"/>
        <w:ind w:left="720"/>
      </w:pPr>
      <w:r/>
      <w:hyperlink r:id="rId13">
        <w:r>
          <w:rPr>
            <w:color w:val="0000EE"/>
            <w:u w:val="single"/>
          </w:rPr>
          <w:t>https://www.sanctions.io/blog/ai-aml</w:t>
        </w:r>
      </w:hyperlink>
      <w:r>
        <w:t xml:space="preserve"> - This blog post from Sanctions.io explores the role of artificial intelligence (AI) in anti-money laundering (AML), discussing applications, risks, and use cases. It highlights the challenges institutions face when implementing AI solutions, such as regulatory complexity and data privacy concerns. The post emphasises the importance of balancing the benefits of AI in AML with ensuring data privacy and addresses the risks associated with AI models, including the potential for inaccurate or misleading results leading to legal and regulatory repercussions. It also discusses the potential for AI to misinterpret a customer's risk profile, leading to false positives or negatives in detecting suspicious behaviour, which could result in referral fraud and damage to the institution's reputation and bottom line. The post concludes by noting that AI's power to detect suspicious activity, ensure compliance, and reduce false positives is transforming the way financial institutions tackle financial crime.</w:t>
      </w:r>
      <w:r/>
    </w:p>
    <w:p>
      <w:pPr>
        <w:pStyle w:val="ListNumber"/>
        <w:spacing w:line="240" w:lineRule="auto"/>
        <w:ind w:left="720"/>
      </w:pPr>
      <w:r/>
      <w:hyperlink r:id="rId14">
        <w:r>
          <w:rPr>
            <w:color w:val="0000EE"/>
            <w:u w:val="single"/>
          </w:rPr>
          <w:t>https://www.thetaray.com/</w:t>
        </w:r>
      </w:hyperlink>
      <w:r>
        <w:t xml:space="preserve"> - ThetaRay is a fintech software and big data analytics company that provides AI-powered anti-money laundering (AML) transaction monitoring and sanctions screening software for banks, fintechs, and government Financial Intelligence Units (FIUs). The company utilises patented mathematical algorithms developed by its founders to uncover unknown opportunities based on big data. ThetaRay's platform is designed to detect complex and unknown money laundering schemes by analysing large volumes of transactional data, enabling financial institutions to identify suspicious activities that traditional rule-based systems might miss.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evdiscourse.com/article/business/3724194-ai-can-help-combat-trillions-in-global-money-laundering-losses" TargetMode="External"/><Relationship Id="rId10" Type="http://schemas.openxmlformats.org/officeDocument/2006/relationships/hyperlink" Target="https://arxiv.org/abs/2512.06240" TargetMode="External"/><Relationship Id="rId11" Type="http://schemas.openxmlformats.org/officeDocument/2006/relationships/hyperlink" Target="https://www.allaboutai.com/resources/ai-statistics/ai-fraud-detection/" TargetMode="External"/><Relationship Id="rId12" Type="http://schemas.openxmlformats.org/officeDocument/2006/relationships/hyperlink" Target="https://www.sas.com/en_us/insights/articles/risk-fraud/next-generation-anti-money-laundering.html" TargetMode="External"/><Relationship Id="rId13" Type="http://schemas.openxmlformats.org/officeDocument/2006/relationships/hyperlink" Target="https://www.sanctions.io/blog/ai-aml" TargetMode="External"/><Relationship Id="rId14" Type="http://schemas.openxmlformats.org/officeDocument/2006/relationships/hyperlink" Target="https://www.thetaray.com/" TargetMode="External"/><Relationship Id="rId15" Type="http://schemas.openxmlformats.org/officeDocument/2006/relationships/hyperlink" Target="https://www.neotas.com/ai-in-aml-compliance/"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