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gains ground in US general practice amidst mounting workforce and administrative crises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general practitioners across the United States are increasingly turning to artificial intelligence to ease mounting mental and administrative burdens that compromise patient care and drive clinician burnout. The lead analysis describes how routine tasks , from data entry and notes to claims processing and appointment management , consume significant clinician time, and cites a 2025 American Medical Association survey finding that 66% of U.S. doctors were already using AI tools in healthcare. </w:t>
      </w:r>
      <w:hyperlink r:id="rId9">
        <w:r>
          <w:rPr>
            <w:color w:val="0000EE"/>
            <w:u w:val="single"/>
          </w:rPr>
          <w:t>[1]</w:t>
        </w:r>
      </w:hyperlink>
      <w:r/>
    </w:p>
    <w:p>
      <w:r/>
      <w:r>
        <w:t xml:space="preserve">The case for clinical AI rests on improving diagnostic precision and decision-making confidence while preserving clinician oversight. The original report highlights experimental systems such as NAOMI (Neural Assistant for Optimized Medical Interactions), built on GPT-4, which was trialled on synthetic visits and designed around three trust-oriented principles: comprehensive data collection and analysis, transparent clinical reasoning, and adaptive triage and risk assessment. According to the original report, those design features helped NAOMI offer explainable suggestions clinicians can inspect rather than an opaque “black box.” </w:t>
      </w:r>
      <w:hyperlink r:id="rId9">
        <w:r>
          <w:rPr>
            <w:color w:val="0000EE"/>
            <w:u w:val="single"/>
          </w:rPr>
          <w:t>[1]</w:t>
        </w:r>
      </w:hyperlink>
      <w:r/>
    </w:p>
    <w:p>
      <w:r/>
      <w:r>
        <w:t xml:space="preserve">Smaller, specialised models are also presented as pragmatic options for many practices. The original report describes IQVIA’s Med-R1 8B as a medical-reasoning model that traces its reasoning, expresses uncertainty and compares options; it reportedly achieved near 77.44% on benchmark medical exams such as MedMCQA and MedQA, out‑performing some larger models while demanding less compute , a potential advantage for clinics with limited IT budgets. </w:t>
      </w:r>
      <w:hyperlink r:id="rId9">
        <w:r>
          <w:rPr>
            <w:color w:val="0000EE"/>
            <w:u w:val="single"/>
          </w:rPr>
          <w:t>[1]</w:t>
        </w:r>
      </w:hyperlink>
      <w:r/>
    </w:p>
    <w:p>
      <w:r/>
      <w:r>
        <w:t xml:space="preserve">Beyond clinical reasoning, the lead article argues that workflow automation forms a complementary front: front-office automation for phone triage and appointment setting can reduce staff workload and revenue loss from missed calls. The report uses Simbo AI as an example of a vendor automating telephone and scheduling tasks, freeing staff for higher‑value work and shortening patient wait times. It also points to AI that automates documentation, claims and coding as a route to fewer errors and quicker care. </w:t>
      </w:r>
      <w:hyperlink r:id="rId9">
        <w:r>
          <w:rPr>
            <w:color w:val="0000EE"/>
            <w:u w:val="single"/>
          </w:rPr>
          <w:t>[1]</w:t>
        </w:r>
      </w:hyperlink>
      <w:r/>
    </w:p>
    <w:p>
      <w:r/>
      <w:r>
        <w:t xml:space="preserve">These technology promises arrive against a stark operational backdrop. Industry analyses and surveys show escalating practice expenses, staffing shortages, and heavy administrative burdens that already consume clinicians’ time. Government and sector projections warn of a widening physician shortfall , estimates range from tens of thousands to more than 100,000 missing doctors within the next decade , with primary care and rural areas worst affected. Data cited by physician‑oriented outlets indicate clinicians spend many hours weekly on EHR maintenance and paperwork, and that shortages are driving practice consolidation, staffing turnover and investment pressures on independent clinics. </w:t>
      </w:r>
      <w:hyperlink r:id="rId10">
        <w:r>
          <w:rPr>
            <w:color w:val="0000EE"/>
            <w:u w:val="single"/>
          </w:rPr>
          <w:t>[2]</w:t>
        </w:r>
      </w:hyperlink>
      <w:hyperlink r:id="rId11">
        <w:r>
          <w:rPr>
            <w:color w:val="0000EE"/>
            <w:u w:val="single"/>
          </w:rPr>
          <w:t>[4]</w:t>
        </w:r>
      </w:hyperlink>
      <w:hyperlink r:id="rId12">
        <w:r>
          <w:rPr>
            <w:color w:val="0000EE"/>
            <w:u w:val="single"/>
          </w:rPr>
          <w:t>[6]</w:t>
        </w:r>
      </w:hyperlink>
      <w:hyperlink r:id="rId13">
        <w:r>
          <w:rPr>
            <w:color w:val="0000EE"/>
            <w:u w:val="single"/>
          </w:rPr>
          <w:t>[7]</w:t>
        </w:r>
      </w:hyperlink>
      <w:r/>
    </w:p>
    <w:p>
      <w:r/>
      <w:r>
        <w:t xml:space="preserve">The pediatric sector illustrates the stakes. Reporting on paediatrics shows families facing long waits and access gaps driven by declining interest in the specialty, low reimbursement rates (especially from Medicaid), and unfilled residency posts; commentators warn that untreated childhood conditions and fragmented access risk higher long‑term costs if reimbursement and training incentives are not addressed. Those structural financing and workforce problems mean AI solutions must fit into systems already strained by staffing and payment challenges. </w:t>
      </w:r>
      <w:hyperlink r:id="rId14">
        <w:r>
          <w:rPr>
            <w:color w:val="0000EE"/>
            <w:u w:val="single"/>
          </w:rPr>
          <w:t>[3]</w:t>
        </w:r>
      </w:hyperlink>
      <w:r/>
    </w:p>
    <w:p>
      <w:r/>
      <w:r>
        <w:t xml:space="preserve">Regulation, privacy and ethics are central constraints. The lead article notes increased FDA scrutiny of AI tools and stresses HIPAA compliance; it recommends governance frameworks such as MCP‑AI (Model Context Protocol‑AI) that log decision context, enable auditability and integrate via standards like HL7 and FHIR to ease EHR interoperability. Industry reporting confirms that regulatory pathways, liability allocation and bias mitigation are among the foremost barriers practices must manage when procuring and deploying AI. </w:t>
      </w:r>
      <w:hyperlink r:id="rId9">
        <w:r>
          <w:rPr>
            <w:color w:val="0000EE"/>
            <w:u w:val="single"/>
          </w:rPr>
          <w:t>[1]</w:t>
        </w:r>
      </w:hyperlink>
      <w:hyperlink r:id="rId15">
        <w:r>
          <w:rPr>
            <w:color w:val="0000EE"/>
            <w:u w:val="single"/>
          </w:rPr>
          <w:t>[5]</w:t>
        </w:r>
      </w:hyperlink>
      <w:hyperlink r:id="rId13">
        <w:r>
          <w:rPr>
            <w:color w:val="0000EE"/>
            <w:u w:val="single"/>
          </w:rPr>
          <w:t>[7]</w:t>
        </w:r>
      </w:hyperlink>
      <w:r/>
    </w:p>
    <w:p>
      <w:r/>
      <w:r>
        <w:t xml:space="preserve">Adoption will depend on more than model accuracy. The lead report and sector surveys emphasise clinician training, trust-building through transparent reasoning, cost and infrastructure considerations, and the need for scalable tools that grow with practice needs. Surveys show many physicians still use AI primarily for administrative tasks; a shift toward clinical decision support at scale will require demonstrable safety, lower operational cost and seamless EHR integration. </w:t>
      </w:r>
      <w:hyperlink r:id="rId9">
        <w:r>
          <w:rPr>
            <w:color w:val="0000EE"/>
            <w:u w:val="single"/>
          </w:rPr>
          <w:t>[1]</w:t>
        </w:r>
      </w:hyperlink>
      <w:hyperlink r:id="rId15">
        <w:r>
          <w:rPr>
            <w:color w:val="0000EE"/>
            <w:u w:val="single"/>
          </w:rPr>
          <w:t>[5]</w:t>
        </w:r>
      </w:hyperlink>
      <w:hyperlink r:id="rId10">
        <w:r>
          <w:rPr>
            <w:color w:val="0000EE"/>
            <w:u w:val="single"/>
          </w:rPr>
          <w:t>[2]</w:t>
        </w:r>
      </w:hyperlink>
      <w:r/>
    </w:p>
    <w:p>
      <w:r/>
      <w:r>
        <w:t xml:space="preserve">Taken together, the evidence suggests a pragmatic, staged approach: deploy AI where it lowers administrative load and reliably automates routine front‑office functions; validate transparent clinical‑reasoning models in supervised settings; and prioritise governance, interoperability and clinician education before broad clinical reliance. Market projections cited in the original report , rapid growth from single‑digit billions to nearly $187 billion by 2030 , underline investor and vendor enthusiasm, but industry observers and physician surveys alike stress that technology alone cannot substitute for policy, funding and workforce reforms needed to stabilise access to primary and paediatric care.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For practice leaders and IT managers, the task is therefore twofold: select AI tools that demonstrate transparent decision‑making, comply with regulatory and privacy obligations, and integrate with existing systems; and pursue operational changes that preserve clinician judgement while using automation to reclaim time for patient care. If implemented carefully, transparent AI that supports rather than supplants clinicians could reduce burnout, improve diagnostic confidence and help practices manage mounting demand , but it will not, by itself, resolve the underlying workforce and reimbursement problems that continue to constrict U.S. primary care. </w:t>
      </w:r>
      <w:hyperlink r:id="rId9">
        <w:r>
          <w:rPr>
            <w:color w:val="0000EE"/>
            <w:u w:val="single"/>
          </w:rPr>
          <w:t>[1]</w:t>
        </w:r>
      </w:hyperlink>
      <w:hyperlink r:id="rId10">
        <w:r>
          <w:rPr>
            <w:color w:val="0000EE"/>
            <w:u w:val="single"/>
          </w:rPr>
          <w:t>[2]</w:t>
        </w:r>
      </w:hyperlink>
      <w:hyperlink r:id="rId15">
        <w:r>
          <w:rPr>
            <w:color w:val="0000EE"/>
            <w:u w:val="single"/>
          </w:rPr>
          <w:t>[5]</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2, Paragraph 3, Paragraph 4, Paragraph 6, Paragraph 7, Paragraph 8, Paragraph 9</w:t>
      </w:r>
      <w:r/>
    </w:p>
    <w:p>
      <w:pPr>
        <w:pStyle w:val="ListBullet"/>
        <w:spacing w:line="240" w:lineRule="auto"/>
        <w:ind w:left="720"/>
      </w:pPr>
      <w:r/>
      <w:hyperlink r:id="rId10">
        <w:r>
          <w:rPr>
            <w:color w:val="0000EE"/>
            <w:u w:val="single"/>
          </w:rPr>
          <w:t>[2]</w:t>
        </w:r>
      </w:hyperlink>
      <w:r>
        <w:t xml:space="preserve"> (PracticeMatch) - Paragraph 5, Paragraph 8, Paragraph 9</w:t>
      </w:r>
      <w:r/>
    </w:p>
    <w:p>
      <w:pPr>
        <w:pStyle w:val="ListBullet"/>
        <w:spacing w:line="240" w:lineRule="auto"/>
        <w:ind w:left="720"/>
      </w:pPr>
      <w:r/>
      <w:hyperlink r:id="rId14">
        <w:r>
          <w:rPr>
            <w:color w:val="0000EE"/>
            <w:u w:val="single"/>
          </w:rPr>
          <w:t>[3]</w:t>
        </w:r>
      </w:hyperlink>
      <w:r>
        <w:t xml:space="preserve"> (Time: Why you can’t find a pediatrician) - Paragraph 6</w:t>
      </w:r>
      <w:r/>
    </w:p>
    <w:p>
      <w:pPr>
        <w:pStyle w:val="ListBullet"/>
        <w:spacing w:line="240" w:lineRule="auto"/>
        <w:ind w:left="720"/>
      </w:pPr>
      <w:r/>
      <w:hyperlink r:id="rId11">
        <w:r>
          <w:rPr>
            <w:color w:val="0000EE"/>
            <w:u w:val="single"/>
          </w:rPr>
          <w:t>[4]</w:t>
        </w:r>
      </w:hyperlink>
      <w:r>
        <w:t xml:space="preserve"> (Time: Physician shortage challenges) - Paragraph 5, Paragraph 8</w:t>
      </w:r>
      <w:r/>
    </w:p>
    <w:p>
      <w:pPr>
        <w:pStyle w:val="ListBullet"/>
        <w:spacing w:line="240" w:lineRule="auto"/>
        <w:ind w:left="720"/>
      </w:pPr>
      <w:r/>
      <w:hyperlink r:id="rId15">
        <w:r>
          <w:rPr>
            <w:color w:val="0000EE"/>
            <w:u w:val="single"/>
          </w:rPr>
          <w:t>[5]</w:t>
        </w:r>
      </w:hyperlink>
      <w:r>
        <w:t xml:space="preserve"> (MedCentral report) - Paragraph 7, Paragraph 9</w:t>
      </w:r>
      <w:r/>
    </w:p>
    <w:p>
      <w:pPr>
        <w:pStyle w:val="ListBullet"/>
        <w:spacing w:line="240" w:lineRule="auto"/>
        <w:ind w:left="720"/>
      </w:pPr>
      <w:r/>
      <w:hyperlink r:id="rId12">
        <w:r>
          <w:rPr>
            <w:color w:val="0000EE"/>
            <w:u w:val="single"/>
          </w:rPr>
          <w:t>[6]</w:t>
        </w:r>
      </w:hyperlink>
      <w:r>
        <w:t xml:space="preserve"> (AMN Healthcare) - Paragraph 5</w:t>
      </w:r>
      <w:r/>
    </w:p>
    <w:p>
      <w:pPr>
        <w:pStyle w:val="ListBullet"/>
        <w:spacing w:line="240" w:lineRule="auto"/>
        <w:ind w:left="720"/>
      </w:pPr>
      <w:r/>
      <w:hyperlink r:id="rId13">
        <w:r>
          <w:rPr>
            <w:color w:val="0000EE"/>
            <w:u w:val="single"/>
          </w:rPr>
          <w:t>[7]</w:t>
        </w:r>
      </w:hyperlink>
      <w:r>
        <w:t xml:space="preserve"> (Becker's Hospital Review) - Paragraph 5, Paragraph 7,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https://www.simbo.ai/blog/the-potential-of-ai-to-improve-diagnostic-precision-and-decision-making-confidence-among-general-practitioners-through-transparent-clinical-reasoning-processes-736306/</w:t>
        </w:r>
      </w:hyperlink>
      <w:r>
        <w:t xml:space="preserve"> - Please view link - unable to able to access data</w:t>
      </w:r>
      <w:r/>
    </w:p>
    <w:p>
      <w:pPr>
        <w:pStyle w:val="ListNumber"/>
        <w:spacing w:line="240" w:lineRule="auto"/>
        <w:ind w:left="720"/>
      </w:pPr>
      <w:r/>
      <w:hyperlink r:id="rId10">
        <w:r>
          <w:rPr>
            <w:color w:val="0000EE"/>
            <w:u w:val="single"/>
          </w:rPr>
          <w:t>https://www.practicematch.com/physicians/articles/what-physicians-can-expect-in-2025-trends-challenges-and-opportunities.cfm</w:t>
        </w:r>
      </w:hyperlink>
      <w:r>
        <w:t xml:space="preserve"> - This article discusses the challenges physicians are expected to face by 2025, including escalating practice expenses, administrative burdens, and physician shortages. It highlights the rising operational costs due to staffing shortages, supply chain disruptions, and increasing overhead expenses. The article also addresses the significant administrative responsibilities physicians encounter, such as complex billing processes and electronic health record maintenance, which consume nearly 16 hours per week. Additionally, it notes the persistent shortage of physicians, particularly in primary care and rural areas, potentially reaching up to 124,000 by 2034, limiting patient access to care and increasing workload pressures.</w:t>
      </w:r>
      <w:r/>
    </w:p>
    <w:p>
      <w:pPr>
        <w:pStyle w:val="ListNumber"/>
        <w:spacing w:line="240" w:lineRule="auto"/>
        <w:ind w:left="720"/>
      </w:pPr>
      <w:r/>
      <w:hyperlink r:id="rId14">
        <w:r>
          <w:rPr>
            <w:color w:val="0000EE"/>
            <w:u w:val="single"/>
          </w:rPr>
          <w:t>https://time.com/7024080/why-you-cant-find-a-pediatrician/</w:t>
        </w:r>
      </w:hyperlink>
      <w:r>
        <w:t xml:space="preserve"> - This article highlights a growing crisis in pediatric healthcare in the U.S., where families struggle to access timely care due to a severe shortage of pediatricians and pediatric specialists. Parents, like Steph Berend in Spokane, face year-long waitlists, leaving children with untreated chronic conditions. One of the driving factors is declining interest in pediatrics among medical students, with about 30% of pediatric residencies unfilled in 2024. Pediatrics is among the lowest-paid specializations despite requiring the same level of training as others, largely due to low reimbursement rates from Medicaid and private insurers. Medicaid covers over one-third of U.S. children, but its compensation is significantly lower than Medicare. The reimbursement system, influenced by the AMA's RUC committee, tends to undervalue pediatricians’ nonprocedural work. Rural pediatricians, like Jill Neff, face especially tough challenges, struggling to hire help or attract new doctors. Gender bias may also play a role, as pediatrics now has a high share of female doctors and correlates with lower compensation. Families are often forced to seek care from underprepared nurse practitioners or relocate for better access. Without changes, pediatric care shortages could lead to higher long-term healthcare costs.</w:t>
      </w:r>
      <w:r/>
    </w:p>
    <w:p>
      <w:pPr>
        <w:pStyle w:val="ListNumber"/>
        <w:spacing w:line="240" w:lineRule="auto"/>
        <w:ind w:left="720"/>
      </w:pPr>
      <w:r/>
      <w:hyperlink r:id="rId11">
        <w:r>
          <w:rPr>
            <w:color w:val="0000EE"/>
            <w:u w:val="single"/>
          </w:rPr>
          <w:t>https://time.com/6199666/physician-shortage-challenges-solutions/</w:t>
        </w:r>
      </w:hyperlink>
      <w:r>
        <w:t xml:space="preserve"> - This article discusses the worsening physician shortage in the U.S., with projections suggesting a gap of 54,100 to 139,000 doctors by 2033, impacting both primary and specialty care. Factors contributing to this crisis include a fixed supply of training slots, an aging population requiring more care, physician retirements, and burnout exacerbated by the COVID-19 pandemic. Primary care is most impacted, especially in rural and underserved urban areas, jeopardizing patient access and overburdening emergency departments. The shortage is largely due to the high cost and limited availability of medical education and residency positions, compounded by demographic trends including rising chronic diseases and expanded healthcare access. Solutions must be multifaceted, including increased federal funding for training, student debt relief, use of telemedicine, expanding the care team with nurse practitioners and assistants, reducing paperwork burdens, and enhancing diversity in medicine. Although the challenge is significant, progress in certain states like California shows that strategic action can yield improvements in healthcare access and physician availability.</w:t>
      </w:r>
      <w:r/>
    </w:p>
    <w:p>
      <w:pPr>
        <w:pStyle w:val="ListNumber"/>
        <w:spacing w:line="240" w:lineRule="auto"/>
        <w:ind w:left="720"/>
      </w:pPr>
      <w:r/>
      <w:hyperlink r:id="rId15">
        <w:r>
          <w:rPr>
            <w:color w:val="0000EE"/>
            <w:u w:val="single"/>
          </w:rPr>
          <w:t>https://www.medcentral.com/reports/medical-practice-physician-report-2024-results</w:t>
        </w:r>
      </w:hyperlink>
      <w:r>
        <w:t xml:space="preserve"> - This survey report from MedCentral highlights key challenges faced by physicians in 2024. It reveals that nearly 20% of physicians have switched to direct primary care (DPC), where patients pay a monthly or annual fee for care, to address issues like burnout, overwork, and low reimbursement. The report also notes that about two-thirds of respondents do not use AI in their medical practice, with those who do primarily using it for administrative tasks such as medical records documentation, automated billing and coding, and differential diagnosis. The American Medical Association (AMA) and other medical organizations believe that AI has great potential to assist physicians with patient care, treatment outcomes, and diagnosis.</w:t>
      </w:r>
      <w:r/>
    </w:p>
    <w:p>
      <w:pPr>
        <w:pStyle w:val="ListNumber"/>
        <w:spacing w:line="240" w:lineRule="auto"/>
        <w:ind w:left="720"/>
      </w:pPr>
      <w:r/>
      <w:hyperlink r:id="rId12">
        <w:r>
          <w:rPr>
            <w:color w:val="0000EE"/>
            <w:u w:val="single"/>
          </w:rPr>
          <w:t>https://www.amnhealthcare.com/blog/physician/locums/9-top-challenges-facing-physicians/</w:t>
        </w:r>
      </w:hyperlink>
      <w:r>
        <w:t xml:space="preserve"> - This article outlines nine significant challenges facing physicians, including funding challenges, medical staffing issues, and administrative burdens. It highlights that many smaller and independent practices are concerned about funding, especially with increasing expenses and reliance on third-party reimbursements. The article also discusses the trend of independent practices being acquired by hospitals and healthcare systems, particularly in rural areas, leading to concerns about autonomy and financial stability. Additionally, it addresses the growing administrative burdens physicians face, including complex billing processes and compliance documentation, which detract from patient care and contribute to professional burnout.</w:t>
      </w:r>
      <w:r/>
    </w:p>
    <w:p>
      <w:pPr>
        <w:pStyle w:val="ListNumber"/>
        <w:spacing w:line="240" w:lineRule="auto"/>
        <w:ind w:left="720"/>
      </w:pPr>
      <w:r/>
      <w:hyperlink r:id="rId13">
        <w:r>
          <w:rPr>
            <w:color w:val="0000EE"/>
            <w:u w:val="single"/>
          </w:rPr>
          <w:t>https://www.beckershospitalreview.com/quality/hospital-physician-relationships/the-9-biggest-challenges-physicians-face-in-daily-practice-survey/</w:t>
        </w:r>
      </w:hyperlink>
      <w:r>
        <w:t xml:space="preserve"> - This survey identifies the nine biggest challenges physicians face in daily practice, including administrative work, reimbursement issues, staffing shortages, staff turnover, electronic health record reporting, billing and coding requirements, malpractice premiums, competition from nonphysician practitioners, and collecting payment from self-pay patients. The survey also notes that 56% of physicians have added nonphysician practitioners to their practice to address these challenges. Additionally, 34% have added or revamped their patient portals, and 32% have implemented new scheduling systems to improve efficiency and patient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the-potential-of-ai-to-improve-diagnostic-precision-and-decision-making-confidence-among-general-practitioners-through-transparent-clinical-reasoning-processes-736306/" TargetMode="External"/><Relationship Id="rId10" Type="http://schemas.openxmlformats.org/officeDocument/2006/relationships/hyperlink" Target="https://www.practicematch.com/physicians/articles/what-physicians-can-expect-in-2025-trends-challenges-and-opportunities.cfm" TargetMode="External"/><Relationship Id="rId11" Type="http://schemas.openxmlformats.org/officeDocument/2006/relationships/hyperlink" Target="https://time.com/6199666/physician-shortage-challenges-solutions/" TargetMode="External"/><Relationship Id="rId12" Type="http://schemas.openxmlformats.org/officeDocument/2006/relationships/hyperlink" Target="https://www.amnhealthcare.com/blog/physician/locums/9-top-challenges-facing-physicians/" TargetMode="External"/><Relationship Id="rId13" Type="http://schemas.openxmlformats.org/officeDocument/2006/relationships/hyperlink" Target="https://www.beckershospitalreview.com/quality/hospital-physician-relationships/the-9-biggest-challenges-physicians-face-in-daily-practice-survey/" TargetMode="External"/><Relationship Id="rId14" Type="http://schemas.openxmlformats.org/officeDocument/2006/relationships/hyperlink" Target="https://time.com/7024080/why-you-cant-find-a-pediatrician/" TargetMode="External"/><Relationship Id="rId15" Type="http://schemas.openxmlformats.org/officeDocument/2006/relationships/hyperlink" Target="https://www.medcentral.com/reports/medical-practice-physician-report-2024-resul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