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and investment banking faces transformative challenges and opportunities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past two years have delivered unusually strong results for corporate and investment banking (CIB), with revenues and returns on equity comfortably above the cost of capital, but those gains now sit against a trio of forces that could re‑shape the industry: heightened macroeconomic and geopolitical volatility, the rise of specialised non‑bank challengers, and rapid change at the digital frontier driven by agentic AI and digital assets. According to the original report, CIB revenues reached $3.0 trillion in 2024 and industry ROE averaged above 13 percent, underscoring both the scale of recent success and the urgency of preparing for disruption. </w:t>
      </w:r>
      <w:hyperlink r:id="rId9">
        <w:r>
          <w:rPr>
            <w:color w:val="0000EE"/>
            <w:u w:val="single"/>
          </w:rPr>
          <w:t>[1]</w:t>
        </w:r>
      </w:hyperlink>
      <w:hyperlink r:id="rId9">
        <w:r>
          <w:rPr>
            <w:color w:val="0000EE"/>
            <w:u w:val="single"/>
          </w:rPr>
          <w:t>[2]</w:t>
        </w:r>
      </w:hyperlink>
      <w:r/>
    </w:p>
    <w:p>
      <w:r/>
      <w:r>
        <w:t xml:space="preserve">Geopolitical uncertainty has moved from episodic risk to a persistent structural factor, the report argues, shifting growth dynamics across sectors and geographies. Industry analysis warns of slower growth corridors, altered trade patterns and an increased emphasis on defence, infrastructure and energy that will change the composition of loans and capital‑market assets held by CIBs. The recommended near‑term response is selective scenario planning: identify the few geopolitical elements that matter most to the franchise, stand up “nerve centres” to monitor developments, and take “no‑regrets” operational steps such as expanding working‑capital capabilities or refreshing client offerings. </w:t>
      </w:r>
      <w:hyperlink r:id="rId9">
        <w:r>
          <w:rPr>
            <w:color w:val="0000EE"/>
            <w:u w:val="single"/>
          </w:rPr>
          <w:t>[1]</w:t>
        </w:r>
      </w:hyperlink>
      <w:r>
        <w:t xml:space="preserve"> </w:t>
      </w:r>
      <w:r/>
    </w:p>
    <w:p>
      <w:r/>
      <w:r>
        <w:t xml:space="preserve">Compounding that macro risk is intensifying competition from attacker firms that have moved beyond niche roles to challenge incumbent banks at scale. The report distinguishes four attacker archetypes: independent investment banks that now command multi‑billion dollar market capitalisations; non‑bank market makers that already rival sell‑side revenues in liquid markets; fast‑growing private‑credit managers that have built a roughly $2 trillion asset class and are disintermediating mid‑market lending; and FX and payments specialists that have taken double‑digit shares of cross‑border flows. Industry data and subsequent market results from large CIB franchises illustrate this pattern: several banks have continued to post record revenues and profits even as market share dynamics shift. </w:t>
      </w:r>
      <w:hyperlink r:id="rId9">
        <w:r>
          <w:rPr>
            <w:color w:val="0000EE"/>
            <w:u w:val="single"/>
          </w:rPr>
          <w:t>[1]</w:t>
        </w:r>
      </w:hyperlink>
      <w:hyperlink r:id="rId9">
        <w:r>
          <w:rPr>
            <w:color w:val="0000EE"/>
            <w:u w:val="single"/>
          </w:rPr>
          <w:t>[2]</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Technological change is the third tectonic pressure. The original report highlights a move from gen‑AI experiments to agentic AI, autonomous software agents capable of executing complex, multi‑step workflows, which could reconfigure front, middle and back offices. Over the next five years to 2030, McKinsey forecasts AI will shift the balance of human roles toward insight synthesis and client interaction, create novel team structures in which junior staff manage AI agents, and enable continuous transaction‑banking workflows that execute sweeps, hedges and settlements in real time. Parallel to AI, tokenisation and stablecoin adoption are accelerating: tokenised cash, bonds and fund products are moving from pilot to production and stablecoin transaction volumes have surged, creating both operational imperatives and regulatory questions for CIBs. </w:t>
      </w:r>
      <w:hyperlink r:id="rId9">
        <w:r>
          <w:rPr>
            <w:color w:val="0000EE"/>
            <w:u w:val="single"/>
          </w:rPr>
          <w:t>[1]</w:t>
        </w:r>
      </w:hyperlink>
      <w:r/>
    </w:p>
    <w:p>
      <w:r/>
      <w:r>
        <w:t xml:space="preserve">Faced with these headwinds and opportunities, the report lays out a four‑part playbook built on strategic agility: respond quickly to immediate uncertainty; build a lean, scalable operating model; capture structural shifts such as private capital growth; and move AI and digital‑asset initiatives from pilots to impact at scale. The playbook is deliberately practical: workstreams include radical simplification to drive near‑term cost savings, “one‑bank” integration to unlock cross‑unit revenue synergies, and strengthening capital‑management to improve ROE through more accurate allocation and RWA review. McKinsey’s analysis suggests these moves could deliver cost‑to‑income improvements and a 20–30 percent uplift in profitability for a representative, commercially oriented CIB before macro effects and investment costs. </w:t>
      </w:r>
      <w:hyperlink r:id="rId9">
        <w:r>
          <w:rPr>
            <w:color w:val="0000EE"/>
            <w:u w:val="single"/>
          </w:rPr>
          <w:t>[1]</w:t>
        </w:r>
      </w:hyperlink>
      <w:hyperlink r:id="rId9">
        <w:r>
          <w:rPr>
            <w:color w:val="0000EE"/>
            <w:u w:val="single"/>
          </w:rPr>
          <w:t>[2]</w:t>
        </w:r>
      </w:hyperlink>
      <w:r/>
    </w:p>
    <w:p>
      <w:r/>
      <w:r>
        <w:t xml:space="preserve">Operationally, the report highlights three levers with outsized impact. First, a private‑equity style transformation, strong top‑down sponsorship, rigorous delivery cadence and cultural change, can drive immediate cost reductions, with observed savings of 20 percent or more on addressable cost bases. Second, converting fragmented client relationships into coordinated “one‑bank” propositions, particularly by embedding FX and transaction‑banking capabilities across client journeys, creates stickier, higher‑yield relationships. Third, modern capital management, including structured RWA reviews, can lift ROE by tens of basis points and free capital for targeted growth. These are presented not as theoretical exercises but as repeatable approaches drawn from cross‑bank benchmarking. </w:t>
      </w:r>
      <w:hyperlink r:id="rId9">
        <w:r>
          <w:rPr>
            <w:color w:val="0000EE"/>
            <w:u w:val="single"/>
          </w:rPr>
          <w:t>[1]</w:t>
        </w:r>
      </w:hyperlink>
      <w:r/>
    </w:p>
    <w:p>
      <w:r/>
      <w:r>
        <w:t xml:space="preserve">On private capital, the report urges banks to treat the asset‑class shift as both a threat and an opportunity. Private credit’s growth has changed how middle‑market deals are financed and presents multiple strategic responses for banks: from agency originate‑to‑distribute models and targeted balance‑sheet allocation to forward‑flow partnerships and dedicated asset‑management vehicles. Capturing the broader private capital opportunity also requires industrialised account planning, fund‑level products and specialised risk and underwriting capabilities; the alternative is gradual disintermediation of core lending relationships. </w:t>
      </w:r>
      <w:hyperlink r:id="rId9">
        <w:r>
          <w:rPr>
            <w:color w:val="0000EE"/>
            <w:u w:val="single"/>
          </w:rPr>
          <w:t>[1]</w:t>
        </w:r>
      </w:hyperlink>
      <w:r/>
    </w:p>
    <w:p>
      <w:r/>
      <w:r>
        <w:t xml:space="preserve">The technology agenda is cast as essential and time‑sensitive. To move from pilot to scale, banks must adopt agentic AI, prioritise adoption and talent rather than only technology, and erect robust guardrails for explainability, compliance and model risk. Transaction banking is singled out as a near‑term revenue engine that can be “reinvented” by bringing B2C usability to B2B flows and by standing up minimum viable value chains, on‑chain repo or tokenised money‑market funds, for example, where banks already control client flow. The report also points to recent industry momentum: market updates from capital‑markets consultancies and strong reported results at leading CIBs through 2024–2025 indicate continued demand in origination, advisory and markets. </w:t>
      </w:r>
      <w:hyperlink r:id="rId9">
        <w:r>
          <w:rPr>
            <w:color w:val="0000EE"/>
            <w:u w:val="single"/>
          </w:rPr>
          <w:t>[1]</w:t>
        </w:r>
      </w:hyperlink>
      <w:hyperlink r:id="rId14">
        <w:r>
          <w:rPr>
            <w:color w:val="0000EE"/>
            <w:u w:val="single"/>
          </w:rPr>
          <w:t>[7]</w:t>
        </w:r>
      </w:hyperlink>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Taken together, the playbook promises to reshape what best‑in‑class CIB looks like: faster, fee‑led, capital efficient and more shock‑resilient. The report cautions that the estimated 20–30 percent profitability upside is a thought exercise for a typical corporate‑oriented institution and that realisation requires disciplined sequencing, investment and ongoing adaptation to macro developments. In an environment of rising investor scrutiny and intensifying competition, the authors argue that incremental change is insufficient; the competitive frontier will reward those that combine strategic clarity, operational rigour and timely digital bets.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(McKinsey)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(McKinsey summary) - Paragraph 1, Paragraph 8 </w:t>
      </w:r>
      <w:r/>
    </w:p>
    <w:p>
      <w:pPr>
        <w:pStyle w:val="ListBullet"/>
        <w:spacing w:line="240" w:lineRule="auto"/>
        <w:ind w:left="720"/>
      </w:pPr>
      <w:r/>
      <w:hyperlink r:id="rId10">
        <w:r>
          <w:rPr>
            <w:color w:val="0000EE"/>
            <w:u w:val="single"/>
          </w:rPr>
          <w:t>[3]</w:t>
        </w:r>
      </w:hyperlink>
      <w:r>
        <w:t xml:space="preserve"> (BBVA CIB press release 2024) - Paragraph 3, Paragraph 8 </w:t>
      </w:r>
      <w:r/>
    </w:p>
    <w:p>
      <w:pPr>
        <w:pStyle w:val="ListBullet"/>
        <w:spacing w:line="240" w:lineRule="auto"/>
        <w:ind w:left="720"/>
      </w:pPr>
      <w:r/>
      <w:hyperlink r:id="rId11">
        <w:r>
          <w:rPr>
            <w:color w:val="0000EE"/>
            <w:u w:val="single"/>
          </w:rPr>
          <w:t>[4]</w:t>
        </w:r>
      </w:hyperlink>
      <w:r>
        <w:t xml:space="preserve"> (BBVA Q1 2025) - Paragraph 3, Paragraph 8 </w:t>
      </w:r>
      <w:r/>
    </w:p>
    <w:p>
      <w:pPr>
        <w:pStyle w:val="ListBullet"/>
        <w:spacing w:line="240" w:lineRule="auto"/>
        <w:ind w:left="720"/>
      </w:pPr>
      <w:r/>
      <w:hyperlink r:id="rId12">
        <w:r>
          <w:rPr>
            <w:color w:val="0000EE"/>
            <w:u w:val="single"/>
          </w:rPr>
          <w:t>[5]</w:t>
        </w:r>
      </w:hyperlink>
      <w:r>
        <w:t xml:space="preserve"> (BBVA Jan–Sep 2025) - Paragraph 3, Paragraph 8 </w:t>
      </w:r>
      <w:r/>
    </w:p>
    <w:p>
      <w:pPr>
        <w:pStyle w:val="ListBullet"/>
        <w:spacing w:line="240" w:lineRule="auto"/>
        <w:ind w:left="720"/>
      </w:pPr>
      <w:r/>
      <w:hyperlink r:id="rId13">
        <w:r>
          <w:rPr>
            <w:color w:val="0000EE"/>
            <w:u w:val="single"/>
          </w:rPr>
          <w:t>[6]</w:t>
        </w:r>
      </w:hyperlink>
      <w:r>
        <w:t xml:space="preserve"> (BBVA 2023 results) - Paragraph 3 </w:t>
      </w:r>
      <w:r/>
    </w:p>
    <w:p>
      <w:pPr>
        <w:pStyle w:val="ListBullet"/>
        <w:spacing w:line="240" w:lineRule="auto"/>
        <w:ind w:left="720"/>
      </w:pPr>
      <w:r/>
      <w:hyperlink r:id="rId14">
        <w:r>
          <w:rPr>
            <w:color w:val="0000EE"/>
            <w:u w:val="single"/>
          </w:rPr>
          <w:t>[7]</w:t>
        </w:r>
      </w:hyperlink>
      <w:r>
        <w:t xml:space="preserve"> (BCG capital‑markets update 2024–2025)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https://www.mckinsey.com/industries/financial-services/our-insights/cib-in-an-era-of-volatility-ai-and-nonbank-challengers</w:t>
        </w:r>
      </w:hyperlink>
      <w:r>
        <w:t xml:space="preserve"> - Please view link - unable to able to access data</w:t>
      </w:r>
      <w:r/>
    </w:p>
    <w:p>
      <w:pPr>
        <w:pStyle w:val="ListNumber"/>
        <w:spacing w:line="240" w:lineRule="auto"/>
        <w:ind w:left="720"/>
      </w:pPr>
      <w:r/>
      <w:hyperlink r:id="rId9">
        <w:r>
          <w:rPr>
            <w:color w:val="0000EE"/>
            <w:u w:val="single"/>
          </w:rPr>
          <w:t>https://www.mckinsey.com/industries/financial-services/our-insights/cib-in-an-era-of-volatility-ai-and-nonbank-challengers</w:t>
        </w:r>
      </w:hyperlink>
      <w:r>
        <w:t xml:space="preserve"> - McKinsey's report examines the strong performance of corporate and investment banking (CIB) in recent years, highlighting rising revenues and returns on equity exceeding the cost of capital. However, it identifies three major challenges: macroeconomic and geopolitical volatility, the emergence of non-bank competitors, and advancements in AI and digital assets. The report proposes a four-part strategy focusing on immediate uncertainty, operational flexibility, adapting to private credit growth, and scaling AI initiatives to enhance profitability by 20-30% before considering macroeconomic factors and investment costs.</w:t>
      </w:r>
      <w:r/>
    </w:p>
    <w:p>
      <w:pPr>
        <w:pStyle w:val="ListNumber"/>
        <w:spacing w:line="240" w:lineRule="auto"/>
        <w:ind w:left="720"/>
      </w:pPr>
      <w:r/>
      <w:hyperlink r:id="rId10">
        <w:r>
          <w:rPr>
            <w:color w:val="0000EE"/>
            <w:u w:val="single"/>
          </w:rPr>
          <w:t>https://www.bbvacib.com/insights/news/bbva-cib-reaches-a-record-revenue-of-e5832-million-in-2024/</w:t>
        </w:r>
      </w:hyperlink>
      <w:r>
        <w:t xml:space="preserve"> - BBVA Corporate &amp; Investment Banking (CIB) reported record revenues of €5,832 million in 2024, marking a 27% increase from the previous year. This growth was driven by strong performances in Global Markets, Global Transaction Banking, and Investment Banking &amp; Finance. The bank also achieved a net attributable profit of €2,781 million, up 30% year-on-year, with significant contributions from Spain, the United Kingdom, and the United States.</w:t>
      </w:r>
      <w:r/>
    </w:p>
    <w:p>
      <w:pPr>
        <w:pStyle w:val="ListNumber"/>
        <w:spacing w:line="240" w:lineRule="auto"/>
        <w:ind w:left="720"/>
      </w:pPr>
      <w:r/>
      <w:hyperlink r:id="rId11">
        <w:r>
          <w:rPr>
            <w:color w:val="0000EE"/>
            <w:u w:val="single"/>
          </w:rPr>
          <w:t>https://www.bbvacib.com/insights/news/bbva-cib-posts-record-revenues-of-e1-71-billion-in-q1-2025/</w:t>
        </w:r>
      </w:hyperlink>
      <w:r>
        <w:t xml:space="preserve"> - In the first quarter of 2025, BBVA CIB achieved record revenues of €1.71 billion, a 36% increase compared to the same period in 2024. All business units experienced double-digit growth, with Global Markets leading at 52%. The bank also reported an attributable profit of €828 million, up 41% year-on-year, with notable growth in Spain, Mexico, and the U.S., particularly in project finance and corporate lending.</w:t>
      </w:r>
      <w:r/>
    </w:p>
    <w:p>
      <w:pPr>
        <w:pStyle w:val="ListNumber"/>
        <w:spacing w:line="240" w:lineRule="auto"/>
        <w:ind w:left="720"/>
      </w:pPr>
      <w:r/>
      <w:hyperlink r:id="rId12">
        <w:r>
          <w:rPr>
            <w:color w:val="0000EE"/>
            <w:u w:val="single"/>
          </w:rPr>
          <w:t>https://www.bbva.com/en/economy-and-finance/bbva-cib-reports-record-revenues-of-e4832-million-through-september/</w:t>
        </w:r>
      </w:hyperlink>
      <w:r>
        <w:t xml:space="preserve"> - BBVA CIB reported revenues of €4,832 million between January and September 2025, a 27% increase from the same period in 2024. All business units recorded double-digit growth, with Global Markets at 27%, Global Transaction Banking at 19%, and Investment Banking &amp; Finance at 35%. The bank also achieved an attributable profit of €2,341 million, up 32% year-on-year, with strong performances in Spain, the United Kingdom, Continental Europe, and the United States.</w:t>
      </w:r>
      <w:r/>
    </w:p>
    <w:p>
      <w:pPr>
        <w:pStyle w:val="ListNumber"/>
        <w:spacing w:line="240" w:lineRule="auto"/>
        <w:ind w:left="720"/>
      </w:pPr>
      <w:r/>
      <w:hyperlink r:id="rId13">
        <w:r>
          <w:rPr>
            <w:color w:val="0000EE"/>
            <w:u w:val="single"/>
          </w:rPr>
          <w:t>https://www.bbvacib.com/insights/news/bbva-cib-reaches-revenues-of-4-804-billion-euros-in-2023/</w:t>
        </w:r>
      </w:hyperlink>
      <w:r>
        <w:t xml:space="preserve"> - In 2023, BBVA CIB achieved revenues of €4.804 billion, a 35% growth year-on-year. The investment banking division recorded an attributed net profit of €2.253 billion, up 44% from 2022. The results reflect the successful execution of BBVA CIB's strategy, emphasizing global presence and sustainability, with contributions from all business units and geographical diversification.</w:t>
      </w:r>
      <w:r/>
    </w:p>
    <w:p>
      <w:pPr>
        <w:pStyle w:val="ListNumber"/>
        <w:spacing w:line="240" w:lineRule="auto"/>
        <w:ind w:left="720"/>
      </w:pPr>
      <w:r/>
      <w:hyperlink r:id="rId14">
        <w:r>
          <w:rPr>
            <w:color w:val="0000EE"/>
            <w:u w:val="single"/>
          </w:rPr>
          <w:t>https://media-publications.bcg.com/Capital-Markets-Investment-Banking-Update-2024-2025.pdf</w:t>
        </w:r>
      </w:hyperlink>
      <w:r>
        <w:t xml:space="preserve"> - The BCG report provides an update on the corporate and investment banking (CIB) sector for 2024/2025. It highlights a 4% year-on-year increase in the overall CIB revenue pool, with origination and advisory revenues growing by 32% to $94 billion. The report anticipates continued growth in 2025, driven by increases in origination and advisory activity, fixed income, currencies, and commodities, and positive outlooks for equities.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insey.com/industries/financial-services/our-insights/cib-in-an-era-of-volatility-ai-and-nonbank-challengers" TargetMode="External"/><Relationship Id="rId10" Type="http://schemas.openxmlformats.org/officeDocument/2006/relationships/hyperlink" Target="https://www.bbvacib.com/insights/news/bbva-cib-reaches-a-record-revenue-of-e5832-million-in-2024/" TargetMode="External"/><Relationship Id="rId11" Type="http://schemas.openxmlformats.org/officeDocument/2006/relationships/hyperlink" Target="https://www.bbvacib.com/insights/news/bbva-cib-posts-record-revenues-of-e1-71-billion-in-q1-2025/" TargetMode="External"/><Relationship Id="rId12" Type="http://schemas.openxmlformats.org/officeDocument/2006/relationships/hyperlink" Target="https://www.bbva.com/en/economy-and-finance/bbva-cib-reports-record-revenues-of-e4832-million-through-september/" TargetMode="External"/><Relationship Id="rId13" Type="http://schemas.openxmlformats.org/officeDocument/2006/relationships/hyperlink" Target="https://www.bbvacib.com/insights/news/bbva-cib-reaches-revenues-of-4-804-billion-euros-in-2023/" TargetMode="External"/><Relationship Id="rId14" Type="http://schemas.openxmlformats.org/officeDocument/2006/relationships/hyperlink" Target="https://media-publications.bcg.com/Capital-Markets-Investment-Banking-Update-2024-2025.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