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Disruptive shifts in D&amp;O liability as AI, geopolitics and regulation reshape the landscape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past year has reshaped the landscape of directors' and officers' (D&amp;O) liability, with regulatory shifts, technological disruption and shifting market dynamics combining to produce a more complex risk environment for corporate leaders and their insurers. According to the original report, the arrival of the second Trump administration , "Trump 2.0" , alongside elevated geopolitical tension, a continued wave of AI adoption, and persistent cyber and insolvency pressures, are the dominant themes insurers, boards and counsel are now confronting.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Policy and enforcement moved quickly in 2025. The report notes a broad deregulatory tilt under Trump 2.0, including rollbacks of proposed climate-disclosure rules and a reprioritisation away from ESG and DEI initiatives, changes that industry observers believe will, on balance, reduce certain categories of D&amp;O exposure even as other risks persist. Industry commentary and market updates corroborate the view that geopolitical tensions and insolvencies are amplifying underwriting scrutiny and claims complexity.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A marked decline in SEC enforcement activity overall was reported in 2025, although the SEC is said to have increased scrutiny of foreign issuers and seen upticks in insider‑trading and market‑manipulation matters. The original report links that decline to shifting enforcement priorities and workforce reductions; market surveys and broker reports likewise show insurers responding to evolving regulatory enforcement by refining underwriting appetites.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Artificial intelligence has emerged as a prime D&amp;O exposure. The original report highlights a wave of "AI‑washing" securities claims and at least 53 AI‑related lawsuits since 2020, with a concentration of new filings in 2024–25. Insurers and brokers interviewed for market reports identify AI as a dual force , creating efficiency and new analytics for underwriting while producing fresh allegations of misstatements, operational failure, deepfakes and synthetic‑identity fraud that can trigger securities, privacy and fiduciary claims. Industry analysis shows boards increasingly expected to oversee AI risk governance, and underwriters are considering policy wordings, sublimits or carve‑outs tied to AI and cyber exposures. </w:t>
      </w:r>
      <w:hyperlink r:id="rId9">
        <w:r>
          <w:rPr>
            <w:color w:val="0000EE"/>
            <w:u w:val="single"/>
          </w:rPr>
          <w:t>[1]</w:t>
        </w:r>
      </w:hyperlink>
      <w:hyperlink r:id="rId10">
        <w:r>
          <w:rPr>
            <w:color w:val="0000EE"/>
            <w:u w:val="single"/>
          </w:rPr>
          <w:t>[2]</w:t>
        </w:r>
      </w:hyperlink>
      <w:hyperlink r:id="rId12">
        <w:r>
          <w:rPr>
            <w:color w:val="0000EE"/>
            <w:u w:val="single"/>
          </w:rPr>
          <w:t>[4]</w:t>
        </w:r>
      </w:hyperlink>
      <w:hyperlink r:id="rId15">
        <w:r>
          <w:rPr>
            <w:color w:val="0000EE"/>
            <w:u w:val="single"/>
          </w:rPr>
          <w:t>[10]</w:t>
        </w:r>
      </w:hyperlink>
      <w:r/>
    </w:p>
    <w:p>
      <w:r/>
      <w:r>
        <w:t xml:space="preserve">Cybersecurity remains a material driver of D&amp;O claims. Ransomware, outages and data breaches continue to generate third‑party, first‑party and regulatory actions that channel into directors' and officers' coverage, prompting many companies to buy standalone cyber policies and prompting insurers to tighten cyber risk appetites. Market updates and broker surveys indicate these trends contributed to evolving premium and limit dynamics in 2025, with competition and rate movements varying by segment and risk profile.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The ESG and DEI landscape has been recalibrated rather than negated. The lead report stresses that, while federal momentum for ESG and DEI has ebbed, state initiatives, led by jurisdictions such as California, and international requirements sustain a patchwork of obligations and litigation risk. Insurers continue to assess underwriting exposures tied to sustainability disclosures, supply‑chain practices and employment policies; market commentary cautions that geopolitical and regulatory divergence is increasing complexity for multinational issuers. </w:t>
      </w:r>
      <w:hyperlink r:id="rId9">
        <w:r>
          <w:rPr>
            <w:color w:val="0000EE"/>
            <w:u w:val="single"/>
          </w:rPr>
          <w:t>[1]</w:t>
        </w:r>
      </w:hyperlink>
      <w:hyperlink r:id="rId16">
        <w:r>
          <w:rPr>
            <w:color w:val="0000EE"/>
            <w:u w:val="single"/>
          </w:rPr>
          <w:t>[8]</w:t>
        </w:r>
      </w:hyperlink>
      <w:r/>
    </w:p>
    <w:p>
      <w:r/>
      <w:r>
        <w:t xml:space="preserve">Corporate law developments and forum‑selection manoeuvres are also altering litigation and coverage dynamics. The original report describes moves to permit bylaws requiring arbitration of securities claims and the "DExits" trend of incorporations shifting from Delaware to states such as Nevada and Texas; Delaware's legislative response (S.B. 21) and attendant constitutional challenges are likely to affect venue, substantive corporate duties and thus the frequency and sites of derivative and fiduciary suits. Parallel case law, on related‑claims analysis, forum clauses, notice and allocation, continues to refine when and how D&amp;O coverage attaches. </w:t>
      </w:r>
      <w:hyperlink r:id="rId9">
        <w:r>
          <w:rPr>
            <w:color w:val="0000EE"/>
            <w:u w:val="single"/>
          </w:rPr>
          <w:t>[1]</w:t>
        </w:r>
      </w:hyperlink>
      <w:r/>
    </w:p>
    <w:p>
      <w:r/>
      <w:r>
        <w:t xml:space="preserve">Recent court decisions this year underscore practical coverage pitfalls for policyholders and insurers alike. The lead article summarises a string of rulings on notice and time‑bar issues, relatedness and allocation doctrines, capacity and no‑action clauses, and the interplay of self‑insured retentions and third‑party payments. These decisions , for example, the Delaware Supreme Court’s "meaningful linkage" test for related claims and Ninth Circuit rulings on California Insurance Code Section 533 , are reshaping litigation strategy and policy drafting priorities for both sides. Industry treatises and insurer analyses cited in the report provide deeper discussion of allocation and cyber/AI loss questions. </w:t>
      </w:r>
      <w:hyperlink r:id="rId9">
        <w:r>
          <w:rPr>
            <w:color w:val="0000EE"/>
            <w:u w:val="single"/>
          </w:rPr>
          <w:t>[1]</w:t>
        </w:r>
      </w:hyperlink>
      <w:r/>
    </w:p>
    <w:p>
      <w:r/>
      <w:r>
        <w:t xml:space="preserve">Market indicators point to a mixed underwriting cycle: some softening and heightened competition in parts of the D&amp;O market contrasted with tightened terms for high‑risk or systemic exposures. Broker and carrier surveys show premium pressure easing in segments where capacity expanded, while carriers remain selective on exposures tied to AI, complex M&amp;A, crypto, and jurisdictions with unsettled corporate law. Insurers are also reassessing forms and endorsements , including bump‑up, capacity and cyber‑related language , in response to case law and emerging loss patterns. </w:t>
      </w:r>
      <w:hyperlink r:id="rId13">
        <w:r>
          <w:rPr>
            <w:color w:val="0000EE"/>
            <w:u w:val="single"/>
          </w:rPr>
          <w:t>[5]</w:t>
        </w:r>
      </w:hyperlink>
      <w:hyperlink r:id="rId14">
        <w:r>
          <w:rPr>
            <w:color w:val="0000EE"/>
            <w:u w:val="single"/>
          </w:rPr>
          <w:t>[6]</w:t>
        </w:r>
      </w:hyperlink>
      <w:hyperlink r:id="rId17">
        <w:r>
          <w:rPr>
            <w:color w:val="0000EE"/>
            <w:u w:val="single"/>
          </w:rPr>
          <w:t>[11]</w:t>
        </w:r>
      </w:hyperlink>
      <w:r/>
    </w:p>
    <w:p>
      <w:r/>
      <w:r>
        <w:t xml:space="preserve">For boards and their advisers, the practical takeaways from 2025 are clear in both the report and corroborating industry commentary: strengthen oversight of AI and cyber risk, reassess disclosure and governance practices in light of shifting federal and state requirements, calibrate D&amp;O programmes to reflect allocation and related‑claims risks, and monitor jurisdictional developments that can alter litigation and coverage outcomes. As market and legal developments continue to evolve, insurers, insureds and brokers will need to align underwriting, contractual and corporate‑governance strategies to manage an increasingly nuanced D&amp;O landscape.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Scott M. Seaman)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(CBIZ) - Paragraph 4, Paragraph 10 </w:t>
      </w:r>
      <w:r/>
    </w:p>
    <w:p>
      <w:pPr>
        <w:pStyle w:val="ListBullet"/>
        <w:spacing w:line="240" w:lineRule="auto"/>
        <w:ind w:left="720"/>
      </w:pPr>
      <w:r/>
      <w:hyperlink r:id="rId11">
        <w:r>
          <w:rPr>
            <w:color w:val="0000EE"/>
            <w:u w:val="single"/>
          </w:rPr>
          <w:t>[3]</w:t>
        </w:r>
      </w:hyperlink>
      <w:r>
        <w:t xml:space="preserve"> (Allianz Commercial 2026 insights) - Paragraph 1, Paragraph 2, Paragraph 10 </w:t>
      </w:r>
      <w:r/>
    </w:p>
    <w:p>
      <w:pPr>
        <w:pStyle w:val="ListBullet"/>
        <w:spacing w:line="240" w:lineRule="auto"/>
        <w:ind w:left="720"/>
      </w:pPr>
      <w:r/>
      <w:hyperlink r:id="rId12">
        <w:r>
          <w:rPr>
            <w:color w:val="0000EE"/>
            <w:u w:val="single"/>
          </w:rPr>
          <w:t>[4]</w:t>
        </w:r>
      </w:hyperlink>
      <w:r>
        <w:t xml:space="preserve"> (Allianz Commercial 2025 report) - Paragraph 2, Paragraph 4, Paragraph 6 </w:t>
      </w:r>
      <w:r/>
    </w:p>
    <w:p>
      <w:pPr>
        <w:pStyle w:val="ListBullet"/>
        <w:spacing w:line="240" w:lineRule="auto"/>
        <w:ind w:left="720"/>
      </w:pPr>
      <w:r/>
      <w:hyperlink r:id="rId13">
        <w:r>
          <w:rPr>
            <w:color w:val="0000EE"/>
            <w:u w:val="single"/>
          </w:rPr>
          <w:t>[5]</w:t>
        </w:r>
      </w:hyperlink>
      <w:r>
        <w:t xml:space="preserve"> (Council of Insurance Agents &amp; Brokers Q2 2025 survey) - Paragraph 3, Paragraph 9, Paragraph 10 </w:t>
      </w:r>
      <w:r/>
    </w:p>
    <w:p>
      <w:pPr>
        <w:pStyle w:val="ListBullet"/>
        <w:spacing w:line="240" w:lineRule="auto"/>
        <w:ind w:left="720"/>
      </w:pPr>
      <w:r/>
      <w:hyperlink r:id="rId14">
        <w:r>
          <w:rPr>
            <w:color w:val="0000EE"/>
            <w:u w:val="single"/>
          </w:rPr>
          <w:t>[6]</w:t>
        </w:r>
      </w:hyperlink>
      <w:r>
        <w:t xml:space="preserve"> (Lockton Q3 2025 update) - Paragraph 3, Paragraph 9 </w:t>
      </w:r>
      <w:r/>
    </w:p>
    <w:p>
      <w:pPr>
        <w:pStyle w:val="ListBullet"/>
        <w:spacing w:line="240" w:lineRule="auto"/>
        <w:ind w:left="720"/>
      </w:pPr>
      <w:r/>
      <w:hyperlink r:id="rId16">
        <w:r>
          <w:rPr>
            <w:color w:val="0000EE"/>
            <w:u w:val="single"/>
          </w:rPr>
          <w:t>[8]</w:t>
        </w:r>
      </w:hyperlink>
      <w:r>
        <w:t xml:space="preserve"> (Global Insurance Law Centre D&amp;O report Feb 2025) - Paragraph 6 </w:t>
      </w:r>
      <w:r/>
    </w:p>
    <w:p>
      <w:pPr>
        <w:pStyle w:val="ListBullet"/>
        <w:spacing w:line="240" w:lineRule="auto"/>
        <w:ind w:left="720"/>
      </w:pPr>
      <w:r/>
      <w:hyperlink r:id="rId15">
        <w:r>
          <w:rPr>
            <w:color w:val="0000EE"/>
            <w:u w:val="single"/>
          </w:rPr>
          <w:t>[10]</w:t>
        </w:r>
      </w:hyperlink>
      <w:r>
        <w:t xml:space="preserve"> (Brown &amp; Brown Q1 2025 market trends) - Paragraph 4, Paragraph 9 </w:t>
      </w:r>
      <w:r/>
    </w:p>
    <w:p>
      <w:pPr>
        <w:pStyle w:val="ListBullet"/>
        <w:spacing w:line="240" w:lineRule="auto"/>
        <w:ind w:left="720"/>
      </w:pPr>
      <w:r/>
      <w:hyperlink r:id="rId17">
        <w:r>
          <w:rPr>
            <w:color w:val="0000EE"/>
            <w:u w:val="single"/>
          </w:rPr>
          <w:t>[11]</w:t>
        </w:r>
      </w:hyperlink>
      <w:r>
        <w:t xml:space="preserve"> (WTW spring 2025 update) - Paragraph 9</w:t>
      </w:r>
      <w:r/>
      <w:r/>
    </w:p>
    <w:p>
      <w:r/>
      <w:r>
        <w:t xml:space="preserve">Source: </w:t>
      </w:r>
      <w:hyperlink r:id="rId18">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https://www.jdsupra.com/legalnews/d-o-liability-coverage-2025-trends-9850678/</w:t>
        </w:r>
      </w:hyperlink>
      <w:r>
        <w:t xml:space="preserve"> - Please view link - unable to able to access data</w:t>
      </w:r>
      <w:r/>
    </w:p>
    <w:p>
      <w:pPr>
        <w:pStyle w:val="ListNumber"/>
        <w:spacing w:line="240" w:lineRule="auto"/>
        <w:ind w:left="720"/>
      </w:pPr>
      <w:r/>
      <w:hyperlink r:id="rId10">
        <w:r>
          <w:rPr>
            <w:color w:val="0000EE"/>
            <w:u w:val="single"/>
          </w:rPr>
          <w:t>https://www.cbiz.com/insights/article/projected-risks-for-directors-and-officers-insurance-in-2025</w:t>
        </w:r>
      </w:hyperlink>
      <w:r>
        <w:t xml:space="preserve"> - An article discussing projected risks for Directors and Officers (D&amp;O) insurance in 2025, including AI-driven boardroom exposures, growing cybersecurity concerns, and ESG issues.</w:t>
      </w:r>
      <w:r/>
    </w:p>
    <w:p>
      <w:pPr>
        <w:pStyle w:val="ListNumber"/>
        <w:spacing w:line="240" w:lineRule="auto"/>
        <w:ind w:left="720"/>
      </w:pPr>
      <w:r/>
      <w:hyperlink r:id="rId11">
        <w:r>
          <w:rPr>
            <w:color w:val="0000EE"/>
            <w:u w:val="single"/>
          </w:rPr>
          <w:t>https://commercial.allianz.com/news-and-insights/news/directors-and-officers-insurance-insights-2026.html</w:t>
        </w:r>
      </w:hyperlink>
      <w:r>
        <w:t xml:space="preserve"> - Allianz Commercial's insights into D&amp;O insurance, highlighting the impact of insolvencies, geopolitical tensions, and AI-related risks on the market.</w:t>
      </w:r>
      <w:r/>
    </w:p>
    <w:p>
      <w:pPr>
        <w:pStyle w:val="ListNumber"/>
        <w:spacing w:line="240" w:lineRule="auto"/>
        <w:ind w:left="720"/>
      </w:pPr>
      <w:r/>
      <w:hyperlink r:id="rId12">
        <w:r>
          <w:rPr>
            <w:color w:val="0000EE"/>
            <w:u w:val="single"/>
          </w:rPr>
          <w:t>https://commercial.allianz.com/news-and-insights/news/directors-and-officers-insurance-insights-2025.html</w:t>
        </w:r>
      </w:hyperlink>
      <w:r>
        <w:t xml:space="preserve"> - Allianz Commercial's report on D&amp;O insurance trends for 2025, focusing on insolvencies, geopolitical tensions, and AI-related risks.</w:t>
      </w:r>
      <w:r/>
    </w:p>
    <w:p>
      <w:pPr>
        <w:pStyle w:val="ListNumber"/>
        <w:spacing w:line="240" w:lineRule="auto"/>
        <w:ind w:left="720"/>
      </w:pPr>
      <w:r/>
      <w:hyperlink r:id="rId13">
        <w:r>
          <w:rPr>
            <w:color w:val="0000EE"/>
            <w:u w:val="single"/>
          </w:rPr>
          <w:t>https://www.ciab.com/wp-content/uploads/2025/08/Q2-2025-survey_FINAL.pdf</w:t>
        </w:r>
      </w:hyperlink>
      <w:r>
        <w:t xml:space="preserve"> - A survey by the Council of Insurance Agents &amp; Brokers on D&amp;O insurance trends in Q2 2025, noting premium decreases and market competition.</w:t>
      </w:r>
      <w:r/>
    </w:p>
    <w:p>
      <w:pPr>
        <w:pStyle w:val="ListNumber"/>
        <w:spacing w:line="240" w:lineRule="auto"/>
        <w:ind w:left="720"/>
      </w:pPr>
      <w:r/>
      <w:hyperlink r:id="rId14">
        <w:r>
          <w:rPr>
            <w:color w:val="0000EE"/>
            <w:u w:val="single"/>
          </w:rPr>
          <w:t>https://global.lockton.com/gb/en/news-insights/management-liability-market-update-q3-2025</w:t>
        </w:r>
      </w:hyperlink>
      <w:r>
        <w:t xml:space="preserve"> - Lockton's Q3 2025 update on the management liability market, discussing geopolitical tensions and cyber threats affecting D&amp;O insurance.</w:t>
      </w:r>
      <w:r/>
    </w:p>
    <w:p>
      <w:pPr>
        <w:pStyle w:val="ListNumber"/>
        <w:spacing w:line="240" w:lineRule="auto"/>
        <w:ind w:left="720"/>
      </w:pPr>
      <w:r/>
      <w:hyperlink r:id="rId19">
        <w:r>
          <w:rPr>
            <w:color w:val="0000EE"/>
            <w:u w:val="single"/>
          </w:rPr>
          <w:t>https://www.insurancebusinessmag.com/us/news/breaking-news/insurers-reassess-dando-coverage-as-global-risk-factors-rise-535350.aspx</w:t>
        </w:r>
      </w:hyperlink>
      <w:r>
        <w:t xml:space="preserve"> - An article on insurers reassessing D&amp;O coverage amid global risk factors, highlighting market stabilization and emerging risks.</w:t>
      </w:r>
      <w:r/>
    </w:p>
    <w:p>
      <w:pPr>
        <w:pStyle w:val="ListNumber"/>
        <w:spacing w:line="240" w:lineRule="auto"/>
        <w:ind w:left="720"/>
      </w:pPr>
      <w:r/>
      <w:hyperlink r:id="rId16">
        <w:r>
          <w:rPr>
            <w:color w:val="0000EE"/>
            <w:u w:val="single"/>
          </w:rPr>
          <w:t>https://www.globalinsurancelaw.com/wp-content/uploads/2025/02/GILC-DO-report-February-2025.pdf</w:t>
        </w:r>
      </w:hyperlink>
      <w:r>
        <w:t xml:space="preserve"> - A report on global D&amp;O insurance trends for 2025, emphasizing increased regulation and ESG considerations.</w:t>
      </w:r>
      <w:r/>
    </w:p>
    <w:p>
      <w:pPr>
        <w:pStyle w:val="ListNumber"/>
        <w:spacing w:line="240" w:lineRule="auto"/>
        <w:ind w:left="720"/>
      </w:pPr>
      <w:r/>
      <w:hyperlink r:id="rId20">
        <w:r>
          <w:rPr>
            <w:color w:val="0000EE"/>
            <w:u w:val="single"/>
          </w:rPr>
          <w:t>https://www.insurancebusinessmag.com/us/news/professional-liability/dando-insurance-demand-grows-as-upheld-claims-surge-524174.aspx</w:t>
        </w:r>
      </w:hyperlink>
      <w:r>
        <w:t xml:space="preserve"> - An article discussing the growing demand for D&amp;O insurance as upheld claims surge, highlighting increased regulatory scrutiny and litigation risks.</w:t>
      </w:r>
      <w:r/>
    </w:p>
    <w:p>
      <w:pPr>
        <w:pStyle w:val="ListNumber"/>
        <w:spacing w:line="240" w:lineRule="auto"/>
        <w:ind w:left="720"/>
      </w:pPr>
      <w:r/>
      <w:hyperlink r:id="rId15">
        <w:r>
          <w:rPr>
            <w:color w:val="0000EE"/>
            <w:u w:val="single"/>
          </w:rPr>
          <w:t>https://www.bbrown.com/wp-content/uploads/2025/01/Market-Trends-Q1-2025-Brown-Brown-External.pdf</w:t>
        </w:r>
      </w:hyperlink>
      <w:r>
        <w:t xml:space="preserve"> - Brown &amp; Brown's Q1 2025 market trends report on executive liability, noting increased carrier competition and AI impacts on D&amp;O insurance.</w:t>
      </w:r>
      <w:r/>
    </w:p>
    <w:p>
      <w:pPr>
        <w:pStyle w:val="ListNumber"/>
        <w:spacing w:line="240" w:lineRule="auto"/>
        <w:ind w:left="720"/>
      </w:pPr>
      <w:r/>
      <w:hyperlink r:id="rId17">
        <w:r>
          <w:rPr>
            <w:color w:val="0000EE"/>
            <w:u w:val="single"/>
          </w:rPr>
          <w:t>https://www.wtwco.com/en-us/insights/2025/05/insurance-marketplace-realities-2025-spring-update-directors-and-officers-liability</w:t>
        </w:r>
      </w:hyperlink>
      <w:r>
        <w:t xml:space="preserve"> - WTW's spring 2025 update on D&amp;O liability, discussing rate predictions and underwriting trends.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d-o-liability-coverage-2025-trends-9850678/" TargetMode="External"/><Relationship Id="rId10" Type="http://schemas.openxmlformats.org/officeDocument/2006/relationships/hyperlink" Target="https://www.cbiz.com/insights/article/projected-risks-for-directors-and-officers-insurance-in-2025" TargetMode="External"/><Relationship Id="rId11" Type="http://schemas.openxmlformats.org/officeDocument/2006/relationships/hyperlink" Target="https://commercial.allianz.com/news-and-insights/news/directors-and-officers-insurance-insights-2026.html" TargetMode="External"/><Relationship Id="rId12" Type="http://schemas.openxmlformats.org/officeDocument/2006/relationships/hyperlink" Target="https://commercial.allianz.com/news-and-insights/news/directors-and-officers-insurance-insights-2025.html" TargetMode="External"/><Relationship Id="rId13" Type="http://schemas.openxmlformats.org/officeDocument/2006/relationships/hyperlink" Target="https://www.ciab.com/wp-content/uploads/2025/08/Q2-2025-survey_FINAL.pdf" TargetMode="External"/><Relationship Id="rId14" Type="http://schemas.openxmlformats.org/officeDocument/2006/relationships/hyperlink" Target="https://global.lockton.com/gb/en/news-insights/management-liability-market-update-q3-2025" TargetMode="External"/><Relationship Id="rId15" Type="http://schemas.openxmlformats.org/officeDocument/2006/relationships/hyperlink" Target="https://www.bbrown.com/wp-content/uploads/2025/01/Market-Trends-Q1-2025-Brown-Brown-External.pdf" TargetMode="External"/><Relationship Id="rId16" Type="http://schemas.openxmlformats.org/officeDocument/2006/relationships/hyperlink" Target="https://www.globalinsurancelaw.com/wp-content/uploads/2025/02/GILC-DO-report-February-2025.pdf" TargetMode="External"/><Relationship Id="rId17" Type="http://schemas.openxmlformats.org/officeDocument/2006/relationships/hyperlink" Target="https://www.wtwco.com/en-us/insights/2025/05/insurance-marketplace-realities-2025-spring-update-directors-and-officers-liability" TargetMode="External"/><Relationship Id="rId18" Type="http://schemas.openxmlformats.org/officeDocument/2006/relationships/hyperlink" Target="https://www.noahwire.com" TargetMode="External"/><Relationship Id="rId19" Type="http://schemas.openxmlformats.org/officeDocument/2006/relationships/hyperlink" Target="https://www.insurancebusinessmag.com/us/news/breaking-news/insurers-reassess-dando-coverage-as-global-risk-factors-rise-535350.aspx" TargetMode="External"/><Relationship Id="rId20" Type="http://schemas.openxmlformats.org/officeDocument/2006/relationships/hyperlink" Target="https://www.insurancebusinessmag.com/us/news/professional-liability/dando-insurance-demand-grows-as-upheld-claims-surge-524174.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