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Fitch forecasts stable 2026 outlook for EMEA insurance despite pressures on London Market and rising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Fitch Ratings has affirmed a "neutral" outlook for the EMEA insurance sector for 2026, saying underlying operational and business conditions are expected to remain broadly unchanged from 2025 and will support sound credit fundamentals, strong capitalisation and robust profitability across most markets. According to the original report, core credit drivers trend in different directions but overall leave a balanced view for insurers heading into next year. </w:t>
      </w:r>
      <w:hyperlink r:id="rId9">
        <w:r>
          <w:rPr>
            <w:color w:val="0000EE"/>
            <w:u w:val="single"/>
          </w:rPr>
          <w:t>[1]</w:t>
        </w:r>
      </w:hyperlink>
      <w:hyperlink r:id="rId9">
        <w:r>
          <w:rPr>
            <w:color w:val="0000EE"/>
            <w:u w:val="single"/>
          </w:rPr>
          <w:t>[2]</w:t>
        </w:r>
      </w:hyperlink>
      <w:r/>
    </w:p>
    <w:p>
      <w:r/>
      <w:r>
        <w:t xml:space="preserve">In European non-life, Fitch expects price increases and revenue growth to decelerate across most segments as weaker GDP growth in the eurozone and the UK constrains premium expansion. Persistent underwriting discipline, elevated reinvestment yields and a continued focus on cost , including AI-driven efficiencies and digital automation , are expected to underpin steady operating profits despite softer top-line dynamics. Industry commentary notes that commercial lines will see particularly pronounced rate softening from the high levels reached in 2023–24.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The London Market was singled out with a "deteriorating" outlook, reflecting an acceleration of competitive pressures and sharper rate erosion than in many continental markets. Fitch links the downgrade to continued renewal-rate declines following the 2024 pricing peak and significant 2025 softening in property re/insurance, where year‑to‑date reductions reached the low double digits. The agency expects combined ratios to rise into the high 90s in 2026 from the low 90s seen in early 2025, assuming catastrophe losses remain within budgeted thresholds. This view mirrors Fitch's earlier reassessment of global reinsurance, which also shifted to deteriorating on similar dynamics. </w:t>
      </w:r>
      <w:hyperlink r:id="rId9">
        <w:r>
          <w:rPr>
            <w:color w:val="0000EE"/>
            <w:u w:val="single"/>
          </w:rPr>
          <w:t>[1]</w:t>
        </w:r>
      </w:hyperlink>
      <w:hyperlink r:id="rId11">
        <w:r>
          <w:rPr>
            <w:color w:val="0000EE"/>
            <w:u w:val="single"/>
          </w:rPr>
          <w:t>[4]</w:t>
        </w:r>
      </w:hyperlink>
      <w:hyperlink r:id="rId12">
        <w:r>
          <w:rPr>
            <w:color w:val="0000EE"/>
            <w:u w:val="single"/>
          </w:rPr>
          <w:t>[6]</w:t>
        </w:r>
      </w:hyperlink>
      <w:r/>
    </w:p>
    <w:p>
      <w:r/>
      <w:r>
        <w:t xml:space="preserve">Germany’s non‑life sector, after a period of alignment of pricing with claims inflation, has been revised from an improving to a neutral outlook as pricing normalises and premium growth slows. By contrast, personal lines in some markets , notably the UK motor book , have shown signs of moving further through the pricing cycle, with rates improving in some segments while other commercial exposures soften. Overall, Fitch expects underwriting margins to remain broadly healthy as insurers work to pass through inflationary claims trends. </w:t>
      </w:r>
      <w:hyperlink r:id="rId9">
        <w:r>
          <w:rPr>
            <w:color w:val="0000EE"/>
            <w:u w:val="single"/>
          </w:rPr>
          <w:t>[1]</w:t>
        </w:r>
      </w:hyperlink>
      <w:hyperlink r:id="rId10">
        <w:r>
          <w:rPr>
            <w:color w:val="0000EE"/>
            <w:u w:val="single"/>
          </w:rPr>
          <w:t>[3]</w:t>
        </w:r>
      </w:hyperlink>
      <w:hyperlink r:id="rId13">
        <w:r>
          <w:rPr>
            <w:color w:val="0000EE"/>
            <w:u w:val="single"/>
          </w:rPr>
          <w:t>[7]</w:t>
        </w:r>
      </w:hyperlink>
      <w:r/>
    </w:p>
    <w:p>
      <w:r/>
      <w:r>
        <w:t xml:space="preserve">For life and savings, the report expects steady net inflows into savings and retirement products as households favour guaranteed and capital‑light unit‑linked solutions amid macro uncertainty. High long‑term sovereign yields, steady fee income and the multi‑year shift toward unit‑linked business are cited as supports for technical margins and profitability. Fitch also notes that demand for individual and group retirement products and sustained bulk annuity activity in the UK will be growth drivers.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Investment income remains a key profit driver, with reinvestment yields likely to stay above average portfolio running yields and thus bolster recurring returns and life technical margins. However, Fitch highlights rising risks from high asset valuations, sovereign concentration, growing allocations to alternatives and illiquid assets, and the possibility of falling asset values or rising defaults. Most insurers retain relatively low equity exposure and diversified, high‑quality portfolios, but elevated credit and liquidity risks , and the potential for weaker investor sentiment in life products , are key vulnerabilities. </w:t>
      </w:r>
      <w:hyperlink r:id="rId9">
        <w:r>
          <w:rPr>
            <w:color w:val="0000EE"/>
            <w:u w:val="single"/>
          </w:rPr>
          <w:t>[1]</w:t>
        </w:r>
      </w:hyperlink>
      <w:hyperlink r:id="rId9">
        <w:r>
          <w:rPr>
            <w:color w:val="0000EE"/>
            <w:u w:val="single"/>
          </w:rPr>
          <w:t>[2]</w:t>
        </w:r>
      </w:hyperlink>
      <w:hyperlink r:id="rId13">
        <w:r>
          <w:rPr>
            <w:color w:val="0000EE"/>
            <w:u w:val="single"/>
          </w:rPr>
          <w:t>[7]</w:t>
        </w:r>
      </w:hyperlink>
      <w:r/>
    </w:p>
    <w:p>
      <w:r/>
      <w:r>
        <w:t xml:space="preserve">Supervisory and regulatory developments are a further factor shaping the outlook. The amended Solvency II rules due to be implemented on January 1, 2027 are expected to provide capital relief and incentives to invest in certain equities and securitisations. Enforcement of the Insurance Recovery and Resolution Directive in 2026 will introduce more uniform cross‑border resolution rules for large insurers, while UK regulators , including the Bank of England and the PRA , are examining funded reinsurance arrangements and conducting targeted stress tests that may lead to more prescriptive guidance. Fitch says these supervisory trends will influence capital planning and risk management across the region. </w:t>
      </w:r>
      <w:hyperlink r:id="rId9">
        <w:r>
          <w:rPr>
            <w:color w:val="0000EE"/>
            <w:u w:val="single"/>
          </w:rPr>
          <w:t>[1]</w:t>
        </w:r>
      </w:hyperlink>
      <w:r/>
    </w:p>
    <w:p>
      <w:r/>
      <w:r>
        <w:t xml:space="preserve">Overall capital strength remains a central theme: Fitch finds Solvency II ratios generally at or above insurers' target ranges and notes that strong operating capital generation should support growth, shareholder returns and potential M&amp;A activity. At end‑October, the majority of EMEA insurance ratings carried Stable outlooks and insurer financial strength ratings clustered in the "AA" to "A" bands. Nevertheless, Fitch warns that climate‑related risks , including declining insurability and higher earnings volatility from weather‑related losses , together with the risk that non‑life pricing lags claims inflation, could materially affect earnings and solvency in adverse scenarios. </w:t>
      </w:r>
      <w:hyperlink r:id="rId9">
        <w:r>
          <w:rPr>
            <w:color w:val="0000EE"/>
            <w:u w:val="single"/>
          </w:rPr>
          <w:t>[1]</w:t>
        </w:r>
      </w:hyperlink>
      <w:hyperlink r:id="rId10">
        <w:r>
          <w:rPr>
            <w:color w:val="0000EE"/>
            <w:u w:val="single"/>
          </w:rPr>
          <w:t>[3]</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(Insurance Journal) - Paragraph 1, Paragraph 2, Paragraph 3, Paragraph 4, Paragraph 5, Paragraph 6, Paragraph 7, Paragraph 8 </w:t>
      </w:r>
      <w:r/>
    </w:p>
    <w:p>
      <w:pPr>
        <w:pStyle w:val="ListBullet"/>
        <w:spacing w:line="240" w:lineRule="auto"/>
        <w:ind w:left="720"/>
      </w:pPr>
      <w:r/>
      <w:hyperlink r:id="rId9">
        <w:r>
          <w:rPr>
            <w:color w:val="0000EE"/>
            <w:u w:val="single"/>
          </w:rPr>
          <w:t>[2]</w:t>
        </w:r>
      </w:hyperlink>
      <w:r>
        <w:t xml:space="preserve"> (Insurance Journal - related summary) - Paragraph 1, Paragraph 2, Paragraph 5, Paragraph 6 </w:t>
      </w:r>
      <w:r/>
    </w:p>
    <w:p>
      <w:pPr>
        <w:pStyle w:val="ListBullet"/>
        <w:spacing w:line="240" w:lineRule="auto"/>
        <w:ind w:left="720"/>
      </w:pPr>
      <w:r/>
      <w:hyperlink r:id="rId10">
        <w:r>
          <w:rPr>
            <w:color w:val="0000EE"/>
            <w:u w:val="single"/>
          </w:rPr>
          <w:t>[3]</w:t>
        </w:r>
      </w:hyperlink>
      <w:r>
        <w:t xml:space="preserve"> (Insurance Business Mag) - Paragraph 2, Paragraph 4, Paragraph 5, Paragraph 8 </w:t>
      </w:r>
      <w:r/>
    </w:p>
    <w:p>
      <w:pPr>
        <w:pStyle w:val="ListBullet"/>
        <w:spacing w:line="240" w:lineRule="auto"/>
        <w:ind w:left="720"/>
      </w:pPr>
      <w:r/>
      <w:hyperlink r:id="rId11">
        <w:r>
          <w:rPr>
            <w:color w:val="0000EE"/>
            <w:u w:val="single"/>
          </w:rPr>
          <w:t>[4]</w:t>
        </w:r>
      </w:hyperlink>
      <w:r>
        <w:t xml:space="preserve"> (Insurance Journal - global reinsurance report) - Paragraph 3, Paragraph 8 </w:t>
      </w:r>
      <w:r/>
    </w:p>
    <w:p>
      <w:pPr>
        <w:pStyle w:val="ListBullet"/>
        <w:spacing w:line="240" w:lineRule="auto"/>
        <w:ind w:left="720"/>
      </w:pPr>
      <w:r/>
      <w:hyperlink r:id="rId14">
        <w:r>
          <w:rPr>
            <w:color w:val="0000EE"/>
            <w:u w:val="single"/>
          </w:rPr>
          <w:t>[5]</w:t>
        </w:r>
      </w:hyperlink>
      <w:r>
        <w:t xml:space="preserve"> (Carrier Management) - Paragraph 3 </w:t>
      </w:r>
      <w:r/>
    </w:p>
    <w:p>
      <w:pPr>
        <w:pStyle w:val="ListBullet"/>
        <w:spacing w:line="240" w:lineRule="auto"/>
        <w:ind w:left="720"/>
      </w:pPr>
      <w:r/>
      <w:hyperlink r:id="rId12">
        <w:r>
          <w:rPr>
            <w:color w:val="0000EE"/>
            <w:u w:val="single"/>
          </w:rPr>
          <w:t>[6]</w:t>
        </w:r>
      </w:hyperlink>
      <w:r>
        <w:t xml:space="preserve"> (Insurance Business - reinsurance) - Paragraph 3 </w:t>
      </w:r>
      <w:r/>
    </w:p>
    <w:p>
      <w:pPr>
        <w:pStyle w:val="ListBullet"/>
        <w:spacing w:line="240" w:lineRule="auto"/>
        <w:ind w:left="720"/>
      </w:pPr>
      <w:r/>
      <w:hyperlink r:id="rId13">
        <w:r>
          <w:rPr>
            <w:color w:val="0000EE"/>
            <w:u w:val="single"/>
          </w:rPr>
          <w:t>[7]</w:t>
        </w:r>
      </w:hyperlink>
      <w:r>
        <w:t xml:space="preserve"> (BeInsure) - Paragraph 4,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https://www.insurancejournal.com/news/international/2025/12/11/850624.htm</w:t>
        </w:r>
      </w:hyperlink>
      <w:r>
        <w:t xml:space="preserve"> - Please view link - unable to able to access data</w:t>
      </w:r>
      <w:r/>
    </w:p>
    <w:p>
      <w:pPr>
        <w:pStyle w:val="ListNumber"/>
        <w:spacing w:line="240" w:lineRule="auto"/>
        <w:ind w:left="720"/>
      </w:pPr>
      <w:r/>
      <w:hyperlink r:id="rId9">
        <w:r>
          <w:rPr>
            <w:color w:val="0000EE"/>
            <w:u w:val="single"/>
          </w:rPr>
          <w:t>https://www.insurancejournal.com/news/international/2025/12/11/850624.htm</w:t>
        </w:r>
      </w:hyperlink>
      <w:r>
        <w:t xml:space="preserve"> - Fitch Ratings has maintained a 'neutral' outlook for the EMEA insurance sector in 2026, anticipating stable operational and business conditions compared to 2025. The sector is expected to exhibit strong capitalization and robust profitability. In European non-life insurance, price increases and revenue growth are projected to decelerate across most segments. Persistent underwriting discipline, high investment yields, and cost focus are anticipated to support steady operating profits. The London Market outlook is 'deteriorating,' reflecting increased competition leading to sharper rate softening, which could erode underwriting margins. In European life insurance, steady net inflows into savings and retirement products are expected, driven by customer caution amid heightened macroeconomic uncertainty. Technical margins, supported by high long-term sovereign yields and steady fee income, are projected to underpin strong profitability across Europe. Key risks include potential investment losses from falling asset values and rising defaults, non-life prices lagging claims inflation, and the impact of climate risk mitigation efforts on earnings volatility.</w:t>
      </w:r>
      <w:r/>
    </w:p>
    <w:p>
      <w:pPr>
        <w:pStyle w:val="ListNumber"/>
        <w:spacing w:line="240" w:lineRule="auto"/>
        <w:ind w:left="720"/>
      </w:pPr>
      <w:r/>
      <w:hyperlink r:id="rId10">
        <w:r>
          <w:rPr>
            <w:color w:val="0000EE"/>
            <w:u w:val="single"/>
          </w:rPr>
          <w:t>https://www.insurancebusinessmag.com/uk/news/breaking-news/fitch-gives-verdict-on-emea-insurance-in-2026-559080.aspx</w:t>
        </w:r>
      </w:hyperlink>
      <w:r>
        <w:t xml:space="preserve"> - Fitch Ratings has maintained a 'neutral' outlook for the EMEA insurance sector in 2026, citing stable operating conditions despite market pressures. Pricing and competitive pressures are expected, alongside sluggish economic growth and volatile investment markets. Fitch stated that strong underwriting performance, new business generation, higher reinvestment yields, and solid capitalization should provide support. For life insurance, steady net inflows into savings and retirement products are anticipated as customers remain cautious amid macroeconomic uncertainty. The outlook for the Italian life sector has shifted to neutral from improving, reflecting stabilizing net inflows. Technical margins, supported by high long-term sovereign yields and steady fee income, are expected to underpin profitability. In non-life insurance, Fitch forecasts slower price increases and revenue growth. Underwriting discipline, investment yields, and cost management are expected to maintain operating profits. The London market carries a deteriorating outlook due to increased competition and faster rate softening, which could reduce underwriting margins. Meanwhile, the German non-life sector outlook was revised to neutral from improving, reflecting expectations of stable profitability amid slower premium growth. Capitalization remains resilient across the region, providing insurers with the capacity to absorb financial market volatility, higher default rates, and large losses. Key risks include potential investment losses from falling asset values and rising defaults, non-life pricing lagging claims inflation, weaker investor sentiment in life insurance, and rising earnings volatility from climate-related exposures and declining insurability.</w:t>
      </w:r>
      <w:r/>
    </w:p>
    <w:p>
      <w:pPr>
        <w:pStyle w:val="ListNumber"/>
        <w:spacing w:line="240" w:lineRule="auto"/>
        <w:ind w:left="720"/>
      </w:pPr>
      <w:r/>
      <w:hyperlink r:id="rId11">
        <w:r>
          <w:rPr>
            <w:color w:val="0000EE"/>
            <w:u w:val="single"/>
          </w:rPr>
          <w:t>https://www.insurancejournal.com/news/international/2025/09/03/837717.htm</w:t>
        </w:r>
      </w:hyperlink>
      <w:r>
        <w:t xml:space="preserve"> - Fitch Ratings has revised its outlook for the global reinsurance sector to 'deteriorating' for 2026 from 'neutral' for 2025, reflecting expectations that underlying operational and business conditions are likely to worsen, although they will remain overall favorable for reinsurers worldwide. Abundant capacity and rising competition are likely to lead to gradual price erosion across most reinsurance lines and looser policy terms in property lines, unless large loss activity during the second half of 2025 depletes capital. Softer pricing conditions since the 2024 peak and rising claims costs—particularly from more frequent and severe catastrophe losses—will pressure underwriting margins. The sector outlook for global reinsurance has shifted to 'deteriorating,' reflecting a moderate decline in otherwise sound business conditions. Anticipated softer pricing conditions in 2026 and rising loss trends will erode underwriting margins, albeit from strong levels. Fitch forecasts only a slight decline in 2026 return on equity, moving from the high teens to the mid-teens, a strong level by historical standards. Competition is likely to remain price-driven, rather than being focused on changes to terms and conditions. Fitch expects reinsurers to be more flexible in negotiations, offering protection at lower attachment points and for more frequent return periods, including through aggregate covers. Overall, Fitch anticipates that underwriting discipline will slowly start relaxing from the very high standards established in 2023.</w:t>
      </w:r>
      <w:r/>
    </w:p>
    <w:p>
      <w:pPr>
        <w:pStyle w:val="ListNumber"/>
        <w:spacing w:line="240" w:lineRule="auto"/>
        <w:ind w:left="720"/>
      </w:pPr>
      <w:r/>
      <w:hyperlink r:id="rId14">
        <w:r>
          <w:rPr>
            <w:color w:val="0000EE"/>
            <w:u w:val="single"/>
          </w:rPr>
          <w:t>https://www.carriermanagement.com/news/2025/09/04/279073.htm</w:t>
        </w:r>
      </w:hyperlink>
      <w:r>
        <w:t xml:space="preserve"> - Fitch Ratings has revised its outlook for the global reinsurance sector to 'deteriorating' for 2026 from 'neutral' for 2025, reflecting expectations that underlying operational and business conditions are likely to worsen, although they will remain overall favorable for reinsurers worldwide. Abundant capacity and rising competition are likely to lead to gradual price erosion across most reinsurance lines and looser policy terms in property lines, unless large loss activity during the second half of 2025 depletes capital. Softer pricing conditions since the 2024 peak and rising claims costs—particularly from more frequent and severe catastrophe losses—will pressure underwriting margins. The sector outlook for global reinsurance has shifted to 'deteriorating,' reflecting a moderate decline in otherwise sound business conditions. Anticipated softer pricing conditions in 2026 and rising loss trends will erode underwriting margins, albeit from strong levels. Fitch forecasts only a slight decline in 2026 return on equity, moving from the high teens to the mid-teens, a strong level by historical standards. Competition is likely to remain price-driven, rather than being focused on changes to terms and conditions. Fitch expects reinsurers to be more flexible in negotiations, offering protection at lower attachment points and for more frequent return periods, including through aggregate covers. Overall, Fitch anticipates that underwriting discipline will slowly start relaxing from the very high standards established in 2023.</w:t>
      </w:r>
      <w:r/>
    </w:p>
    <w:p>
      <w:pPr>
        <w:pStyle w:val="ListNumber"/>
        <w:spacing w:line="240" w:lineRule="auto"/>
        <w:ind w:left="720"/>
      </w:pPr>
      <w:r/>
      <w:hyperlink r:id="rId12">
        <w:r>
          <w:rPr>
            <w:color w:val="0000EE"/>
            <w:u w:val="single"/>
          </w:rPr>
          <w:t>https://www.insurancebusinessmag.com/reinsurance/news/breaking-news/global-reinsurance-urged-to-prepare-for-deteriorating-segment-in-2026-548256.aspx</w:t>
        </w:r>
      </w:hyperlink>
      <w:r>
        <w:t xml:space="preserve"> - Fitch Ratings has revised its outlook for the global reinsurance sector to 'deteriorating' for 2026, shifting from a 'neutral' stance for 2025. The agency expects underlying operational and business conditions to weaken compared to the previous year, though it notes that the overall environment will remain favorable for reinsurers worldwide. According to Fitch, abundant capacity and rising competition are likely to result in gradual price erosion across most reinsurance lines. Property lines may see looser policy terms unless significant loss activity in the second half of 2025 reduces available capital. Fitch's analysis indicates that softer pricing since the 2024 peak, combined with higher claims costs from more frequent and severe catastrophe losses, will put pressure on underwriting margins. However, the agency points out that pricing remains high by historical standards, and investment income continues to support profitability, even if it is below recent peaks. Fitch previously reported that non-life reinsurers experienced reduced underwriting profitability in the first half of 2025, with a combined ratio of 92.7%, up from 88.3% in the same period of 2024. The agency attributed much of this increase to wildfire losses in California, which contributed to higher claims costs and affected overall sector performance. 'Our sector outlook for Global Reinsurance has shifted to 'deteriorating,' reflecting a moderate decline in otherwise sound business conditions,' said Manuel Arrivé, CFA, director at Fitch. He added, 'Anticipated softer pricing conditions in 2026 and rising loss trends will erode underwriting margins, albeit from strong levels. We forecast only a slight decline in 2026 return on equity, moving from the high teens to the mid-teens, a strong level by historical standards.'</w:t>
      </w:r>
      <w:r/>
    </w:p>
    <w:p>
      <w:pPr>
        <w:pStyle w:val="ListNumber"/>
        <w:spacing w:line="240" w:lineRule="auto"/>
        <w:ind w:left="720"/>
      </w:pPr>
      <w:r/>
      <w:hyperlink r:id="rId13">
        <w:r>
          <w:rPr>
            <w:color w:val="0000EE"/>
            <w:u w:val="single"/>
          </w:rPr>
          <w:t>https://beinsure.com/news/fitch-european-insurance-sector-neutral-outlook/</w:t>
        </w:r>
      </w:hyperlink>
      <w:r>
        <w:t xml:space="preserve"> - Fitch Ratings has affirmed a 'neutral' outlook for the European insurance sector at mid-year 2025, citing stable operating conditions despite increased financial market volatility and a weakening economic backdrop. The agency maintained neutral outlooks for both life and non-life insurance segments across most European markets. Exceptions include Italy's life sector and Germany's non-life segment, which continue to show improving trends. For life insurers, Fitch expects steady net inflows into savings products, supported by declining yields from alternative savings options such as bank deposits. The agency noted that most investment risks remain with policyholders, limiting insurers' direct exposure to market fluctuations. Investment guarantees are primarily backed by high-grade, long-duration bonds that insurers typically hold to maturity. However, Fitch warned of potential credit risk if economic conditions deteriorate, particularly in alternative and illiquid assets.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international/2025/12/11/850624.htm" TargetMode="External"/><Relationship Id="rId10" Type="http://schemas.openxmlformats.org/officeDocument/2006/relationships/hyperlink" Target="https://www.insurancebusinessmag.com/uk/news/breaking-news/fitch-gives-verdict-on-emea-insurance-in-2026-559080.aspx" TargetMode="External"/><Relationship Id="rId11" Type="http://schemas.openxmlformats.org/officeDocument/2006/relationships/hyperlink" Target="https://www.insurancejournal.com/news/international/2025/09/03/837717.htm" TargetMode="External"/><Relationship Id="rId12" Type="http://schemas.openxmlformats.org/officeDocument/2006/relationships/hyperlink" Target="https://www.insurancebusinessmag.com/reinsurance/news/breaking-news/global-reinsurance-urged-to-prepare-for-deteriorating-segment-in-2026-548256.aspx" TargetMode="External"/><Relationship Id="rId13" Type="http://schemas.openxmlformats.org/officeDocument/2006/relationships/hyperlink" Target="https://beinsure.com/news/fitch-european-insurance-sector-neutral-outlook/" TargetMode="External"/><Relationship Id="rId14" Type="http://schemas.openxmlformats.org/officeDocument/2006/relationships/hyperlink" Target="https://www.carriermanagement.com/news/2025/09/04/279073.ht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