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regulatory divergence shapes the future of crypto as US adapts while Europe tightens grip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According to the original report compiled by Yangz at Techub News for Castle Labs, the past decade and a half has seen Bitcoin and its broader token ecosystem evolve from a gadget‑era curiosity into a macro asset class that now forces sovereign regulators to choose between enabling innovation and imposing comprehensive control. What began as near‑tribal, permissionless experimentation has been stress‑tested by market failures and high‑profile collapses, prompting lawmakers on both sides of the Atlantic to harden positions about what decentralised finance should be and who should be allowed to participate. </w:t>
      </w:r>
      <w:hyperlink r:id="rId9">
        <w:r>
          <w:rPr>
            <w:color w:val="0000EE"/>
            <w:u w:val="single"/>
          </w:rPr>
          <w:t>[1]</w:t>
        </w:r>
      </w:hyperlink>
      <w:r/>
    </w:p>
    <w:p>
      <w:r/>
      <w:r>
        <w:t xml:space="preserve">The United States, the report argues, has pivoted toward a pragmatic, market‑facing regime that privileges institutional access and the integration of crypto into mainstream finance. According to the original report, a combination of personnel changes, targeted legislation and accounting adjustments in 2024–25 signalled Washington’s willingness to convert previously fringe instruments into regulated, taxable assets. The National Innovation and Establishment Stablecoin Act (GENIUS Act) is singled out as a watershed because it mandates high‑quality backing for stablecoins and expressly opens a path for private issuers to become significant purchasers of US Treasury paper, turning stablecoins from perceived systemic threats into potential liquidity channels for government debt, the report said. </w:t>
      </w:r>
      <w:hyperlink r:id="rId9">
        <w:r>
          <w:rPr>
            <w:color w:val="0000EE"/>
            <w:u w:val="single"/>
          </w:rPr>
          <w:t>[1]</w:t>
        </w:r>
      </w:hyperlink>
      <w:r/>
    </w:p>
    <w:p>
      <w:r/>
      <w:r>
        <w:t xml:space="preserve">Industry observers and the report note other concrete moves that have reduced friction for institutional participation: the repeal of accounting rulings that treated custodial crypto holdings as bank liabilities, proposals to clarify the SEC–CFTC boundary, and new bank product initiatives that allow cryptocurrencies to serve as collateral. The original report cited market reporting that major banks and asset managers are already adapting products to accept Bitcoin and Ether as economically useful forms of collateral, a step that would materially broaden the investor base. Law firms and policy trackers now provide real‑time monitoring of these regulatory shifts, reflecting both market interest and the fragility of the current interim regime. </w:t>
      </w:r>
      <w:hyperlink r:id="rId9">
        <w:r>
          <w:rPr>
            <w:color w:val="0000EE"/>
            <w:u w:val="single"/>
          </w:rPr>
          <w:t>[1]</w:t>
        </w:r>
      </w:hyperlink>
      <w:r/>
    </w:p>
    <w:p>
      <w:r/>
      <w:r>
        <w:t xml:space="preserve">By contrast, the report portrays the European Union’s response as heavy‑handed and innovation‑averse. According to the original report, MiCA, the EU’s Crypto‑Asset Markets Regulation, was intended to bring uniformity but instead imposes compliance burdens modelled on bank‑grade regimes, effectively treating lean start‑ups like established financial institutions. The regulation’s requirements for governance, transparency, local presence, and civil liability for prospectus‑style “white papers” are described as erecting a regulatory moat that favours large incumbents and discourages grassroots builders. </w:t>
      </w:r>
      <w:hyperlink r:id="rId9">
        <w:r>
          <w:rPr>
            <w:color w:val="0000EE"/>
            <w:u w:val="single"/>
          </w:rPr>
          <w:t>[1]</w:t>
        </w:r>
      </w:hyperlink>
      <w:r/>
    </w:p>
    <w:p>
      <w:r/>
      <w:r>
        <w:t xml:space="preserve">That regulatory divergence matters not only for firm formation and capital flows but for the plumbing of crypto markets. The original report highlights how European rules on stablecoins, restricting multi‑jurisdictional issuance and mandating euro‑centred designs, risk creating a liquidity trap by shutting out globally used dollar‑pegged tokens. Reuters and central‑bank commentary have warned about retail deposit migration and systemic risk from runs on tokens; the original report characterises Brussels’ approach as driven by monetary‑sovereignty concerns and a preference for containment over competitive growth. </w:t>
      </w:r>
      <w:hyperlink r:id="rId9">
        <w:r>
          <w:rPr>
            <w:color w:val="0000EE"/>
            <w:u w:val="single"/>
          </w:rPr>
          <w:t>[1]</w:t>
        </w:r>
      </w:hyperlink>
      <w:r/>
    </w:p>
    <w:p>
      <w:r/>
      <w:r>
        <w:t xml:space="preserve">Environmental and infrastructure realities intersect with regulation. Industry data compiled for this briefing indicate that Bitcoin mining’s energy footprint remains substantial and regionally concentrated, with estimates in recent years placing the network’s annual power use in the order of hundreds of terawatt‑hours and per‑coin or per‑transaction energy intensities that dwarf single‑transaction footprints of traditional banking, according to sector research. Specific analyses show the network consuming energy comparable to nations and, in 2025, accounting for roughly 0.5% of global electricity demand in some estimates; renewables now supply a material and growing share of that load. These technical realities inform policymaking, from grid planning to environmental risk assessments, and help explain why some jurisdictions have adopted restrictive stances. </w:t>
      </w:r>
      <w:hyperlink r:id="rId10">
        <w:r>
          <w:rPr>
            <w:color w:val="0000EE"/>
            <w:u w:val="single"/>
          </w:rPr>
          <w:t>[2]</w:t>
        </w:r>
      </w:hyperlink>
      <w:hyperlink r:id="rId11">
        <w:r>
          <w:rPr>
            <w:color w:val="0000EE"/>
            <w:u w:val="single"/>
          </w:rPr>
          <w:t>[4]</w:t>
        </w:r>
      </w:hyperlink>
      <w:hyperlink r:id="rId12">
        <w:r>
          <w:rPr>
            <w:color w:val="0000EE"/>
            <w:u w:val="single"/>
          </w:rPr>
          <w:t>[6]</w:t>
        </w:r>
      </w:hyperlink>
      <w:hyperlink r:id="rId13">
        <w:r>
          <w:rPr>
            <w:color w:val="0000EE"/>
            <w:u w:val="single"/>
          </w:rPr>
          <w:t>[3]</w:t>
        </w:r>
      </w:hyperlink>
      <w:r/>
    </w:p>
    <w:p>
      <w:r/>
      <w:r>
        <w:t xml:space="preserve">The regulatory geography the report predicts is one of arbitrage: consumers and retail markets will remain bound by domestic compliance and taxation in large jurisdictions while protocol development and capital seek more permissive legal umbrellas. The analysis points to Switzerland, Singapore and the UAE as examples of jurisdictions that have combined legal clarity with a commercially friendly environment, Switzerland’s DLT‑law, financial supervision arrangements and established market practices being highlighted as a model that balances investor protection with operational feasibility. </w:t>
      </w:r>
      <w:hyperlink r:id="rId9">
        <w:r>
          <w:rPr>
            <w:color w:val="0000EE"/>
            <w:u w:val="single"/>
          </w:rPr>
          <w:t>[1]</w:t>
        </w:r>
      </w:hyperlink>
      <w:r/>
    </w:p>
    <w:p>
      <w:r/>
      <w:r>
        <w:t xml:space="preserve">That split is already producing practical consequences. The original report documents talent and company migration away from high‑cost, highly regulated markets toward flexible hubs; it also notes the political economy drivers behind Europe’s posture, ageing demographics, fiscal pressures and a preference for control, that make a liberal, risk‑tolerant policy less likely in the short term. At the same time, US momentum is neither irreversible nor free of political conflict: measures intended to clarify market structure remain contested in Congress, and the long‑term shape of American regulation will depend on future legislative outcomes and enforcement priorities. </w:t>
      </w:r>
      <w:hyperlink r:id="rId9">
        <w:r>
          <w:rPr>
            <w:color w:val="0000EE"/>
            <w:u w:val="single"/>
          </w:rPr>
          <w:t>[1]</w:t>
        </w:r>
      </w:hyperlink>
      <w:r/>
    </w:p>
    <w:p>
      <w:r/>
      <w:r>
        <w:t xml:space="preserve">Taken together, the reporting frames the present moment as a transition from a “wild‑west” phase to a period of centralised oversight that will determine who can build and who can profit. According to the original report, supporters of tighter rules argue that stronger controls and disclosure are necessary to prevent fraud and systemic shocks; proponents of a lighter touch counter that onerous compliance kills innovation and drives activity to less regulated jurisdictions. The policy challenge for both blocs is to reconcile consumer protection, financial stability and environmental responsibility with the commercial need to nurture technology and capital. </w:t>
      </w:r>
      <w:hyperlink r:id="rId9">
        <w:r>
          <w:rPr>
            <w:color w:val="0000EE"/>
            <w:u w:val="single"/>
          </w:rPr>
          <w:t>[1]</w:t>
        </w:r>
      </w:hyperlink>
      <w:r/>
    </w:p>
    <w:p>
      <w:r/>
      <w:r>
        <w:t xml:space="preserve">If the past decade is a guide, the ultimate architecture of crypto finance will be shaped as much by geopolitics and fiscal incentives as by technocratic design. The original report concludes that without pragmatic, proportionate rules that permit institutional participation and technical experimentation, entire segments of the industry will decamp to more hospitable jurisdictions, and with them will go jobs, investment and the tax base that Europe hopes to protect. Conversely, a US‑style embrace of institutional integration risks concentrating power but could also make crypto markets less disruptive and more interoperable with legacy finance. Whichever path prevails, regulators will determine whether crypto matures into a mainstream asset class or becomes a cottage industry for jurisdictions willing to host its externalities. </w:t>
      </w:r>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(PanewsLab / Castle Labs compiled by Yangz, Techub News) - Paragraph 1, Paragraph 2, Paragraph 3, Paragraph 4, Paragraph 5, Paragraph 7, Paragraph 8, Paragraph 9, Paragraph 10 </w:t>
      </w:r>
      <w:r/>
    </w:p>
    <w:p>
      <w:pPr>
        <w:pStyle w:val="ListBullet"/>
        <w:spacing w:line="240" w:lineRule="auto"/>
        <w:ind w:left="720"/>
      </w:pPr>
      <w:r/>
      <w:hyperlink r:id="rId10">
        <w:r>
          <w:rPr>
            <w:color w:val="0000EE"/>
            <w:u w:val="single"/>
          </w:rPr>
          <w:t>[2]</w:t>
        </w:r>
      </w:hyperlink>
      <w:r>
        <w:t xml:space="preserve"> (coinlaw.io , Bitcoin energy consumption statistics) - Paragraph 6 </w:t>
      </w:r>
      <w:r/>
    </w:p>
    <w:p>
      <w:pPr>
        <w:pStyle w:val="ListBullet"/>
        <w:spacing w:line="240" w:lineRule="auto"/>
        <w:ind w:left="720"/>
      </w:pPr>
      <w:r/>
      <w:hyperlink r:id="rId13">
        <w:r>
          <w:rPr>
            <w:color w:val="0000EE"/>
            <w:u w:val="single"/>
          </w:rPr>
          <w:t>[3]</w:t>
        </w:r>
      </w:hyperlink>
      <w:r>
        <w:t xml:space="preserve"> (kusamaxi.com , Bitcoin footprint) - Paragraph 6 </w:t>
      </w:r>
      <w:r/>
    </w:p>
    <w:p>
      <w:pPr>
        <w:pStyle w:val="ListBullet"/>
        <w:spacing w:line="240" w:lineRule="auto"/>
        <w:ind w:left="720"/>
      </w:pPr>
      <w:r/>
      <w:hyperlink r:id="rId11">
        <w:r>
          <w:rPr>
            <w:color w:val="0000EE"/>
            <w:u w:val="single"/>
          </w:rPr>
          <w:t>[4]</w:t>
        </w:r>
      </w:hyperlink>
      <w:r>
        <w:t xml:space="preserve"> (coinlaw.io , cryptocurrency mining energy consumption statistics) - Paragraph 6 </w:t>
      </w:r>
      <w:r/>
    </w:p>
    <w:p>
      <w:pPr>
        <w:pStyle w:val="ListBullet"/>
        <w:spacing w:line="240" w:lineRule="auto"/>
        <w:ind w:left="720"/>
      </w:pPr>
      <w:r/>
      <w:hyperlink r:id="rId12">
        <w:r>
          <w:rPr>
            <w:color w:val="0000EE"/>
            <w:u w:val="single"/>
          </w:rPr>
          <w:t>[6]</w:t>
        </w:r>
      </w:hyperlink>
      <w:r>
        <w:t xml:space="preserve"> (ByteTree research) - Paragraph 6 </w:t>
      </w:r>
      <w:r/>
    </w:p>
    <w:p>
      <w:pPr>
        <w:pStyle w:val="ListBullet"/>
        <w:spacing w:line="240" w:lineRule="auto"/>
        <w:ind w:left="720"/>
      </w:pPr>
      <w:r/>
      <w:hyperlink r:id="rId14">
        <w:r>
          <w:rPr>
            <w:color w:val="0000EE"/>
            <w:u w:val="single"/>
          </w:rPr>
          <w:t>[5]</w:t>
        </w:r>
      </w:hyperlink>
      <w:r>
        <w:t xml:space="preserve"> (Reuters)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https://www.panewslab.com/en/articles/01aa2123-9dc2-4da1-a0de-63c7a1b39e28</w:t>
        </w:r>
      </w:hyperlink>
      <w:r>
        <w:t xml:space="preserve"> - Please view link - unable to able to access data</w:t>
      </w:r>
      <w:r/>
    </w:p>
    <w:p>
      <w:pPr>
        <w:pStyle w:val="ListNumber"/>
        <w:spacing w:line="240" w:lineRule="auto"/>
        <w:ind w:left="720"/>
      </w:pPr>
      <w:r/>
      <w:hyperlink r:id="rId10">
        <w:r>
          <w:rPr>
            <w:color w:val="0000EE"/>
            <w:u w:val="single"/>
          </w:rPr>
          <w:t>https://coinlaw.io/bitcoin-energy-consumption-statistics/</w:t>
        </w:r>
      </w:hyperlink>
      <w:r>
        <w:t xml:space="preserve"> - This article provides comprehensive statistics on Bitcoin's energy consumption as of 2025. It highlights that Bitcoin mining's global energy consumption rivals that of entire nations, with the network responsible for 0.5% of global electricity demand. The piece also discusses the energy intensity per coin mined, noting an increase to 209 MWh per Bitcoin due to rising mining difficulty. Additionally, it covers regional variations, such as Kazakhstan's share of global mining energy use dropping to 7% in 2025, and the significant role of renewable energy sources in Bitcoin mining, with 54% of the network's energy usage attributed to renewables in 2025.</w:t>
      </w:r>
      <w:r/>
    </w:p>
    <w:p>
      <w:pPr>
        <w:pStyle w:val="ListNumber"/>
        <w:spacing w:line="240" w:lineRule="auto"/>
        <w:ind w:left="720"/>
      </w:pPr>
      <w:r/>
      <w:hyperlink r:id="rId13">
        <w:r>
          <w:rPr>
            <w:color w:val="0000EE"/>
            <w:u w:val="single"/>
          </w:rPr>
          <w:t>https://kusamaxi.com/post/bitcoin-footprint</w:t>
        </w:r>
      </w:hyperlink>
      <w:r>
        <w:t xml:space="preserve"> - This article delves into Bitcoin's energy footprint as of March 2024. It estimates the network's hashrate at approximately 550 exahashes per second, leading to an annual energy consumption of about 168.63 million MWh. The piece calculates the energy consumption per transaction to be 1.32 MWh, equating to 1,320 kWh per transaction. It also discusses the carbon emissions associated with Bitcoin mining, noting that the Bitcoin Mining Council reported a sustainable energy mix of 59.5% in Q4 2023, indicating a growing shift towards renewable energy sources in the mining process.</w:t>
      </w:r>
      <w:r/>
    </w:p>
    <w:p>
      <w:pPr>
        <w:pStyle w:val="ListNumber"/>
        <w:spacing w:line="240" w:lineRule="auto"/>
        <w:ind w:left="720"/>
      </w:pPr>
      <w:r/>
      <w:hyperlink r:id="rId11">
        <w:r>
          <w:rPr>
            <w:color w:val="0000EE"/>
            <w:u w:val="single"/>
          </w:rPr>
          <w:t>https://coinlaw.io/cryptocurrency-mining-energy-consumption-statistics/</w:t>
        </w:r>
      </w:hyperlink>
      <w:r>
        <w:t xml:space="preserve"> - This article compares the energy consumption of cryptocurrency mining to traditional financial systems. It highlights that Bitcoin's per-transaction energy usage is significantly higher than that of traditional banking systems, with Bitcoin consuming approximately 1,335 kWh per transaction in 2025. The piece also provides a regional breakdown of mining activities, noting that the United States leads with about 37.8% of the global Bitcoin hashrate in 2025. Additionally, it discusses the environmental impact of mining, including the allocation of 2,000 MW of electricity in Pakistan for Bitcoin mining and AI data centres, and the energy consumption of mining operations in countries like Iran and Canada.</w:t>
      </w:r>
      <w:r/>
    </w:p>
    <w:p>
      <w:pPr>
        <w:pStyle w:val="ListNumber"/>
        <w:spacing w:line="240" w:lineRule="auto"/>
        <w:ind w:left="720"/>
      </w:pPr>
      <w:r/>
      <w:hyperlink r:id="rId14">
        <w:r>
          <w:rPr>
            <w:color w:val="0000EE"/>
            <w:u w:val="single"/>
          </w:rPr>
          <w:t>https://www.reuters.com/legal/crypto-miner-lawsuit-sets-back-us-effort-track-booming-power-use-2024-02-28/</w:t>
        </w:r>
      </w:hyperlink>
      <w:r>
        <w:t xml:space="preserve"> - This Reuters article reports on a lawsuit filed by Riot Platforms and the Texas Blockchain Council, which led U.S. officials to suspend a survey aimed at measuring cryptocurrency mining's electricity consumption. The survey was initiated due to concerns over the impact of crypto mining on national power grids and energy costs. The article notes that Bitcoin mining in the U.S. was estimated to consume an estimated 60 terawatt hours in 2024, equivalent to Israel’s annual electricity use, and that the U.S. likely handled about 50% of global Bitcoin mining activity at that time.</w:t>
      </w:r>
      <w:r/>
    </w:p>
    <w:p>
      <w:pPr>
        <w:pStyle w:val="ListNumber"/>
        <w:spacing w:line="240" w:lineRule="auto"/>
        <w:ind w:left="720"/>
      </w:pPr>
      <w:r/>
      <w:hyperlink r:id="rId12">
        <w:r>
          <w:rPr>
            <w:color w:val="0000EE"/>
            <w:u w:val="single"/>
          </w:rPr>
          <w:t>https://www.bytetree.com/research/2024/05/bitcoins-energy-consumption/</w:t>
        </w:r>
      </w:hyperlink>
      <w:r>
        <w:t xml:space="preserve"> - This research report from ByteTree examines Bitcoin's energy consumption as of May 2024. It estimates the network's total energy consumption at approximately 150 terawatt-hours (TWh) annually, based on data from Marathon Digital Holdings. The report discusses the implications of this energy usage, noting that Bitcoin's energy consumption is comparable to that of entire nations and highlighting the environmental concerns associated with such high levels of energy demand. It also touches upon the debate over the sustainability of Bitcoin mining and the potential for integrating renewable energy sources into the mining process.</w:t>
      </w:r>
      <w:r/>
    </w:p>
    <w:p>
      <w:pPr>
        <w:pStyle w:val="ListNumber"/>
        <w:spacing w:line="240" w:lineRule="auto"/>
        <w:ind w:left="720"/>
      </w:pPr>
      <w:r/>
      <w:hyperlink r:id="rId16">
        <w:r>
          <w:rPr>
            <w:color w:val="0000EE"/>
            <w:u w:val="single"/>
          </w:rPr>
          <w:t>https://arstechnica.com/tech-policy/2018/05/new-study-quantifies-bitcoins-ludicrous-energy-consumption/</w:t>
        </w:r>
      </w:hyperlink>
      <w:r>
        <w:t xml:space="preserve"> - This Ars Technica article discusses a study that quantifies Bitcoin's energy consumption as of 2018. The study estimates that the Bitcoin network consumes at least 2.6 gigawatts (GW) of power, nearly as much as Ireland's total electricity consumption at that time. The article notes that this figure could rise to 7.7 GW before the end of 2018, accounting for almost half a percent of the world’s electricity consumption. The piece highlights the speculative nature of these estimates and the challenges in accurately measuring Bitcoin's energy usage due to the decentralized and dynamic nature of the network.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newslab.com/en/articles/01aa2123-9dc2-4da1-a0de-63c7a1b39e28" TargetMode="External"/><Relationship Id="rId10" Type="http://schemas.openxmlformats.org/officeDocument/2006/relationships/hyperlink" Target="https://coinlaw.io/bitcoin-energy-consumption-statistics/" TargetMode="External"/><Relationship Id="rId11" Type="http://schemas.openxmlformats.org/officeDocument/2006/relationships/hyperlink" Target="https://coinlaw.io/cryptocurrency-mining-energy-consumption-statistics/" TargetMode="External"/><Relationship Id="rId12" Type="http://schemas.openxmlformats.org/officeDocument/2006/relationships/hyperlink" Target="https://www.bytetree.com/research/2024/05/bitcoins-energy-consumption/" TargetMode="External"/><Relationship Id="rId13" Type="http://schemas.openxmlformats.org/officeDocument/2006/relationships/hyperlink" Target="https://kusamaxi.com/post/bitcoin-footprint" TargetMode="External"/><Relationship Id="rId14" Type="http://schemas.openxmlformats.org/officeDocument/2006/relationships/hyperlink" Target="https://www.reuters.com/legal/crypto-miner-lawsuit-sets-back-us-effort-track-booming-power-use-2024-02-28/" TargetMode="External"/><Relationship Id="rId15" Type="http://schemas.openxmlformats.org/officeDocument/2006/relationships/hyperlink" Target="https://www.noahwire.com" TargetMode="External"/><Relationship Id="rId16" Type="http://schemas.openxmlformats.org/officeDocument/2006/relationships/hyperlink" Target="https://arstechnica.com/tech-policy/2018/05/new-study-quantifies-bitcoins-ludicrous-energy-consump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