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shifts towards standardised and secure AI agent integration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2025 the industry’s conversation about AI agents and APIs moved from speculative to practical: experimentation with agents surged, and so did the urgency to connect those agents to sanctioned enterprise systems via APIs so they can pull real-time data and orchestrate actions across applications. According to the original report, Model Context Protocol (MCP) emerged as a focal point of that shift, galvanising an ecosystem of MCP servers, tooling and vendor features intended to make agents operationally useful. </w:t>
      </w:r>
      <w:hyperlink r:id="rId9">
        <w:r>
          <w:rPr>
            <w:color w:val="0000EE"/>
            <w:u w:val="single"/>
          </w:rPr>
          <w:t>[1]</w:t>
        </w:r>
      </w:hyperlink>
      <w:hyperlink r:id="rId10">
        <w:r>
          <w:rPr>
            <w:color w:val="0000EE"/>
            <w:u w:val="single"/>
          </w:rPr>
          <w:t>[4]</w:t>
        </w:r>
      </w:hyperlink>
      <w:r/>
    </w:p>
    <w:p>
      <w:r/>
      <w:r>
        <w:t xml:space="preserve">The most immediate pressure on this movement is economic reality. An MIT study found that 95% of enterprise generative AI pilot initiatives have failed to deliver measurable profit-and-loss impact, a finding reported in industry coverage and echoed by subsequent analyses. Those failures are not blamed solely on models, but on flawed integration into corporate workflows; the study’s sample showed only narrowly focused, well-partnered projects consistently reached production. This prospective reckoning will force CIOs and platform leaders in 2026 to demand demonstrable ROI and to prioritise the plumbing and integration work that APIs provide. </w:t>
      </w:r>
      <w:hyperlink r:id="rId11">
        <w:r>
          <w:rPr>
            <w:color w:val="0000EE"/>
            <w:u w:val="single"/>
          </w:rPr>
          <w:t>[2]</w:t>
        </w:r>
      </w:hyperlink>
      <w:hyperlink r:id="rId12">
        <w:r>
          <w:rPr>
            <w:color w:val="0000EE"/>
            <w:u w:val="single"/>
          </w:rPr>
          <w:t>[6]</w:t>
        </w:r>
      </w:hyperlink>
      <w:hyperlink r:id="rId9">
        <w:r>
          <w:rPr>
            <w:color w:val="0000EE"/>
            <w:u w:val="single"/>
          </w:rPr>
          <w:t>[1]</w:t>
        </w:r>
      </w:hyperlink>
      <w:r/>
    </w:p>
    <w:p>
      <w:r/>
      <w:r>
        <w:t xml:space="preserve">Standards are central to that plumbing. MCP is now widely discussed as a standardisation layer to help agents communicate with tools, databases and templates while maintaining context, and major vendors signalled support for interoperability in 2025. Microsoft said it wants agents that "work together" and has emphasised industry standards that encourage cross-agent collaboration, while IBM describes MCP as a protocol that addresses challenges in building multi-agent systems. As the original report notes, the coming year should see MCP adoption increase but also a maturation in best practices around rate limiting, routing, caching, authentication, error semantics and discovery. </w:t>
      </w:r>
      <w:hyperlink r:id="rId13">
        <w:r>
          <w:rPr>
            <w:color w:val="0000EE"/>
            <w:u w:val="single"/>
          </w:rPr>
          <w:t>[3]</w:t>
        </w:r>
      </w:hyperlink>
      <w:hyperlink r:id="rId10">
        <w:r>
          <w:rPr>
            <w:color w:val="0000EE"/>
            <w:u w:val="single"/>
          </w:rPr>
          <w:t>[4]</w:t>
        </w:r>
      </w:hyperlink>
      <w:hyperlink r:id="rId9">
        <w:r>
          <w:rPr>
            <w:color w:val="0000EE"/>
            <w:u w:val="single"/>
          </w:rPr>
          <w:t>[1]</w:t>
        </w:r>
      </w:hyperlink>
      <w:r/>
    </w:p>
    <w:p>
      <w:r/>
      <w:r>
        <w:t xml:space="preserve">Commercial offerings have already begun to position themselves as enterprise-ready implementations of MCP. Vendors are launching hosted, fully managed MCP platforms intended to bridge the gap between open-source experiments and production demands; one provider advertises an enterprise MCP platform that integrates with leading LLMs and AI services and promises security and composability out of the box. These commercial products are likely to accelerate uptake among organisations that lack the resources or appetite for DIY stacks, but the company claims inherent trade‑offs between convenience and vendor lock‑in will shape buyer choices. </w:t>
      </w:r>
      <w:hyperlink r:id="rId14">
        <w:r>
          <w:rPr>
            <w:color w:val="0000EE"/>
            <w:u w:val="single"/>
          </w:rPr>
          <w:t>[5]</w:t>
        </w:r>
      </w:hyperlink>
      <w:hyperlink r:id="rId9">
        <w:r>
          <w:rPr>
            <w:color w:val="0000EE"/>
            <w:u w:val="single"/>
          </w:rPr>
          <w:t>[1]</w:t>
        </w:r>
      </w:hyperlink>
      <w:r/>
    </w:p>
    <w:p>
      <w:r/>
      <w:r>
        <w:t xml:space="preserve">As standards and platforms evolve, design attention will shift from human-centric user experience to agentic experience (AX). The original reporting anticipates more AI‑accessible developer portals, documentation that describes API sequences or workflows, and APIs published with agents in mind. This is not merely cosmetic: it aims to make agent behaviour more deterministic by exposing common sequences and constraints, an approach that complements extensions to existing API standards such as OpenAPI add‑ons, Arazzo, Overlays, and Microsoft’s TypeSpec. Industry data shows those extensions are intended to codify flow, change management and discovery in machine-readable ways. </w:t>
      </w:r>
      <w:hyperlink r:id="rId9">
        <w:r>
          <w:rPr>
            <w:color w:val="0000EE"/>
            <w:u w:val="single"/>
          </w:rPr>
          <w:t>[1]</w:t>
        </w:r>
      </w:hyperlink>
      <w:hyperlink r:id="rId15">
        <w:r>
          <w:rPr>
            <w:color w:val="0000EE"/>
            <w:u w:val="single"/>
          </w:rPr>
          <w:t>[7]</w:t>
        </w:r>
      </w:hyperlink>
      <w:r/>
    </w:p>
    <w:p>
      <w:r/>
      <w:r>
        <w:t xml:space="preserve">Security and authorisation will be among the thorniest issues to resolve. The original report warns that over-scoped long-lived tokens and a paucity of auditability could allow "shadow agentic AI" to operate outside governance. Mayur Upadhyaya, CEO at APIContext, warned that autonomous tools can "take actions, connect to internal systems, and trigger workflows without visibility or control." Studies and vendor surveys have already recorded many instances of agents making incorrect decisions or exposing data, and platform leaders are increasingly focused on least‑privilege, delegation, and human‑in‑the‑loop guardrails. Just‑in‑time, ephemeral tokens with narrow scopes , a concept highlighted at Platform Summit 2025 by Jacob Ideskog , are gaining traction as a practical mitigation. </w:t>
      </w:r>
      <w:hyperlink r:id="rId9">
        <w:r>
          <w:rPr>
            <w:color w:val="0000EE"/>
            <w:u w:val="single"/>
          </w:rPr>
          <w:t>[1]</w:t>
        </w:r>
      </w:hyperlink>
      <w:hyperlink r:id="rId11">
        <w:r>
          <w:rPr>
            <w:color w:val="0000EE"/>
            <w:u w:val="single"/>
          </w:rPr>
          <w:t>[2]</w:t>
        </w:r>
      </w:hyperlink>
      <w:hyperlink r:id="rId12">
        <w:r>
          <w:rPr>
            <w:color w:val="0000EE"/>
            <w:u w:val="single"/>
          </w:rPr>
          <w:t>[6]</w:t>
        </w:r>
      </w:hyperlink>
      <w:r/>
    </w:p>
    <w:p>
      <w:r/>
      <w:r>
        <w:t xml:space="preserve">The interplay between openness and protection will reshape which APIs flourish. Some endpoints , those that connect to AI services, supply real‑time context, or serve as agentic knowledge bases , are likely to gain strategic importance and monetisation opportunities. Others, particularly public or free data endpoints, may be restricted, monetised or shuttered altogether, a trend already visible in recent API deprecations and tightened platform policies. The result will be a more heterogeneous API landscape: highly instrumented, monetised services on one hand and more sheltered, access‑restricted estates on the other. </w:t>
      </w:r>
      <w:hyperlink r:id="rId9">
        <w:r>
          <w:rPr>
            <w:color w:val="0000EE"/>
            <w:u w:val="single"/>
          </w:rPr>
          <w:t>[1]</w:t>
        </w:r>
      </w:hyperlink>
      <w:hyperlink r:id="rId12">
        <w:r>
          <w:rPr>
            <w:color w:val="0000EE"/>
            <w:u w:val="single"/>
          </w:rPr>
          <w:t>[6]</w:t>
        </w:r>
      </w:hyperlink>
      <w:r/>
    </w:p>
    <w:p>
      <w:r/>
      <w:r>
        <w:t xml:space="preserve">Business models for APIs will evolve accordingly. Token‑based billing , where cost reflects the compute or contextual tokens consumed by a request , is becoming more common as AI workloads make per‑call pricing inadequate. Outcome‑based pricing for multistep flows is also emerging for clearly defined actions. These shifts reflect a broader move to productise APIs: organisations that treat APIs as products, with governance, design discipline and measurable outcomes, are more likely to capture value from agentic automation. Industry commentary stresses that without a product mindset, API portfolios suffer from sprawl, inconsistent design and unclear ROI. </w:t>
      </w:r>
      <w:hyperlink r:id="rId9">
        <w:r>
          <w:rPr>
            <w:color w:val="0000EE"/>
            <w:u w:val="single"/>
          </w:rPr>
          <w:t>[1]</w:t>
        </w:r>
      </w:hyperlink>
      <w:r/>
    </w:p>
    <w:p>
      <w:r/>
      <w:r>
        <w:t xml:space="preserve">Community and shared learning will remain critical as enterprises wrestle with these technical, operational and commercial shifts. The original report argues that human networks , conferences, practitioner communities and curated case studies , will be increasingly valuable for separating practical, repeatable approaches from hype. With standards, tooling and vendor options proliferating, communities that aggregate lessons learned and publish pragmatic guidance will help organisations avoid repeating the integration mistakes that undermined so many 2025 pilots.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(Nordic APIs) - Paragraph 1, Paragraph 2, Paragraph 3, Paragraph 5, Paragraph 6, Paragraph 8, Paragraph 9</w:t>
      </w:r>
      <w:r/>
    </w:p>
    <w:p>
      <w:pPr>
        <w:pStyle w:val="ListBullet"/>
        <w:spacing w:line="240" w:lineRule="auto"/>
        <w:ind w:left="720"/>
      </w:pPr>
      <w:r/>
      <w:hyperlink r:id="rId11">
        <w:r>
          <w:rPr>
            <w:color w:val="0000EE"/>
            <w:u w:val="single"/>
          </w:rPr>
          <w:t>[2]</w:t>
        </w:r>
      </w:hyperlink>
      <w:r>
        <w:t xml:space="preserve"> (Tom's Hardware / MIT study coverage) - Paragraph 2, Paragraph 6</w:t>
      </w:r>
      <w:r/>
    </w:p>
    <w:p>
      <w:pPr>
        <w:pStyle w:val="ListBullet"/>
        <w:spacing w:line="240" w:lineRule="auto"/>
        <w:ind w:left="720"/>
      </w:pPr>
      <w:r/>
      <w:hyperlink r:id="rId13">
        <w:r>
          <w:rPr>
            <w:color w:val="0000EE"/>
            <w:u w:val="single"/>
          </w:rPr>
          <w:t>[3]</w:t>
        </w:r>
      </w:hyperlink>
      <w:r>
        <w:t xml:space="preserve"> (Reuters) - Paragraph 3</w:t>
      </w:r>
      <w:r/>
    </w:p>
    <w:p>
      <w:pPr>
        <w:pStyle w:val="ListBullet"/>
        <w:spacing w:line="240" w:lineRule="auto"/>
        <w:ind w:left="720"/>
      </w:pPr>
      <w:r/>
      <w:hyperlink r:id="rId10">
        <w:r>
          <w:rPr>
            <w:color w:val="0000EE"/>
            <w:u w:val="single"/>
          </w:rPr>
          <w:t>[4]</w:t>
        </w:r>
      </w:hyperlink>
      <w:r>
        <w:t xml:space="preserve"> (IBM) - Paragraph 3</w:t>
      </w:r>
      <w:r/>
    </w:p>
    <w:p>
      <w:pPr>
        <w:pStyle w:val="ListBullet"/>
        <w:spacing w:line="240" w:lineRule="auto"/>
        <w:ind w:left="720"/>
      </w:pPr>
      <w:r/>
      <w:hyperlink r:id="rId14">
        <w:r>
          <w:rPr>
            <w:color w:val="0000EE"/>
            <w:u w:val="single"/>
          </w:rPr>
          <w:t>[5]</w:t>
        </w:r>
      </w:hyperlink>
      <w:r>
        <w:t xml:space="preserve"> (Axios) - Paragraph 4</w:t>
      </w:r>
      <w:r/>
    </w:p>
    <w:p>
      <w:pPr>
        <w:pStyle w:val="ListBullet"/>
        <w:spacing w:line="240" w:lineRule="auto"/>
        <w:ind w:left="720"/>
      </w:pPr>
      <w:r/>
      <w:hyperlink r:id="rId12">
        <w:r>
          <w:rPr>
            <w:color w:val="0000EE"/>
            <w:u w:val="single"/>
          </w:rPr>
          <w:t>[6]</w:t>
        </w:r>
      </w:hyperlink>
      <w:r>
        <w:t xml:space="preserve"> (TechRadar / MIT NANDA report coverage) - Paragraph 2, Paragraph 8</w:t>
      </w:r>
      <w:r/>
    </w:p>
    <w:p>
      <w:pPr>
        <w:pStyle w:val="ListBullet"/>
        <w:spacing w:line="240" w:lineRule="auto"/>
        <w:ind w:left="720"/>
      </w:pPr>
      <w:r/>
      <w:hyperlink r:id="rId15">
        <w:r>
          <w:rPr>
            <w:color w:val="0000EE"/>
            <w:u w:val="single"/>
          </w:rPr>
          <w:t>[7]</w:t>
        </w:r>
      </w:hyperlink>
      <w:r>
        <w:t xml:space="preserve"> (YouTube explainer on MCP)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https://nordicapis.com/10-ai-driven-api-economy-predictions-for-2026/</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https://www.tomshardware.com/tech-industry/artificial-intelligence/95-percent-of-generative-ai-implementations-in-enterprise-have-no-measurable-impact-on-p-and-l-says-mit-flawed-integration-key-reason-why-ai-projects-underperform</w:t>
        </w:r>
      </w:hyperlink>
      <w:r>
        <w:t xml:space="preserve"> - A recent MIT study reveals that 95% of generative AI pilot programs in enterprises fail to produce measurable profit and loss (P&amp;L) impacts. The failure is not due to faulty AI models but stems from poor integration into existing corporate workflows, particularly when generic tools like ChatGPT are used without customization. The study, which is based on 150 interviews, 350 employee surveys, and 300 analyzed AI deployments, highlights that only 5% of such projects succeed—those that focus narrowly on a specific issue and collaborate effectively with AI partners.</w:t>
      </w:r>
      <w:r/>
    </w:p>
    <w:p>
      <w:pPr>
        <w:pStyle w:val="ListNumber"/>
        <w:spacing w:line="240" w:lineRule="auto"/>
        <w:ind w:left="720"/>
      </w:pPr>
      <w:r/>
      <w:hyperlink r:id="rId13">
        <w:r>
          <w:rPr>
            <w:color w:val="0000EE"/>
            <w:u w:val="single"/>
          </w:rPr>
          <w:t>https://www.reuters.com/business/microsoft-wants-ai-agents-work-together-remember-things-2025-05-19/</w:t>
        </w:r>
      </w:hyperlink>
      <w:r>
        <w:t xml:space="preserve"> - At its annual Build conference in Seattle on May 19, 2025, Microsoft emphasized its vision for artificial intelligence (AI) agents that can collaborate across different companies and retain stronger memories of their tasks. Chief Technology Officer Kevin Scott highlighted the company’s support for industry-wide standards that encourage interoperability between AI agents, referencing the Model Context Protocol (MCP), an open-source initiative from Anthropic. Microsoft aims to foster an "agentic web" akin to the early web, where diverse agents can interact and perform tasks autonomously.</w:t>
      </w:r>
      <w:r/>
    </w:p>
    <w:p>
      <w:pPr>
        <w:pStyle w:val="ListNumber"/>
        <w:spacing w:line="240" w:lineRule="auto"/>
        <w:ind w:left="720"/>
      </w:pPr>
      <w:r/>
      <w:hyperlink r:id="rId10">
        <w:r>
          <w:rPr>
            <w:color w:val="0000EE"/>
            <w:u w:val="single"/>
          </w:rPr>
          <w:t>https://www.ibm.com/think/topics/model-context-protocol</w:t>
        </w:r>
      </w:hyperlink>
      <w:r>
        <w:t xml:space="preserve"> - The Model Context Protocol (MCP) serves as a standardization layer for AI applications to communicate effectively with external services such as tools, databases and predefined templates. It allows AI agents to be context-aware while complying with a standardized protocol for tool integration, addressing challenges in building multi-agent systems and ensuring effective dissemination of information between specialized agents.</w:t>
      </w:r>
      <w:r/>
    </w:p>
    <w:p>
      <w:pPr>
        <w:pStyle w:val="ListNumber"/>
        <w:spacing w:line="240" w:lineRule="auto"/>
        <w:ind w:left="720"/>
      </w:pPr>
      <w:r/>
      <w:hyperlink r:id="rId14">
        <w:r>
          <w:rPr>
            <w:color w:val="0000EE"/>
            <w:u w:val="single"/>
          </w:rPr>
          <w:t>https://www.axios.com/sponsored/workato-delivers-industrys-first-enterprise-mcp-platform-for-ai-agents</w:t>
        </w:r>
      </w:hyperlink>
      <w:r>
        <w:t xml:space="preserve"> - Workato has launched the first enterprise-grade Model Context Protocol (MCP) platform tailored for AI agents, designed to enable organizations to harness AI for real business operations securely and at scale. This fully managed and composable platform integrates with leading AI systems like ChatGPT, Claude.AI, Amazon Q, Google Gemini, and others, differentiating itself from open-source or DIY alternatives by offering enterprise-ready functionality out of the box.</w:t>
      </w:r>
      <w:r/>
    </w:p>
    <w:p>
      <w:pPr>
        <w:pStyle w:val="ListNumber"/>
        <w:spacing w:line="240" w:lineRule="auto"/>
        <w:ind w:left="720"/>
      </w:pPr>
      <w:r/>
      <w:hyperlink r:id="rId12">
        <w:r>
          <w:rPr>
            <w:color w:val="0000EE"/>
            <w:u w:val="single"/>
          </w:rPr>
          <w:t>https://www.techradar.com/pro/american-companies-have-invested-billions-in-ai-initiatives-but-have-basically-nothing-to-show-for-it</w:t>
        </w:r>
      </w:hyperlink>
      <w:r>
        <w:t xml:space="preserve"> - A new report by MIT’s NANDA initiative reveals that despite U.S. companies investing $35–40 billion into generative AI tools, 95% have failed to deploy these tools effectively at scale. Only 5% of customized AI projects reach production, primarily due to AI's limitations in learning, adapting, and data retention—not a lack of infrastructure or talent. Corporate confidence in AI is weakening, as many executives now view AI demos as impractical science experiments.</w:t>
      </w:r>
      <w:r/>
    </w:p>
    <w:p>
      <w:pPr>
        <w:pStyle w:val="ListNumber"/>
        <w:spacing w:line="240" w:lineRule="auto"/>
        <w:ind w:left="720"/>
      </w:pPr>
      <w:r/>
      <w:hyperlink r:id="rId15">
        <w:r>
          <w:rPr>
            <w:color w:val="0000EE"/>
            <w:u w:val="single"/>
          </w:rPr>
          <w:t>https://www.youtube.com/watch?v=kFcb9861yg0</w:t>
        </w:r>
      </w:hyperlink>
      <w:r>
        <w:t xml:space="preserve"> - This video provides a beginner-friendly explanation of the Model Context Protocol (MCP) and its integration with AI agents. It offers practical demonstrations with visual aids to help viewers understand how MCP facilitates communication between AI agents and external tools, enhancing their functionality and interoperability.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rdicapis.com/10-ai-driven-api-economy-predictions-for-2026/" TargetMode="External"/><Relationship Id="rId10" Type="http://schemas.openxmlformats.org/officeDocument/2006/relationships/hyperlink" Target="https://www.ibm.com/think/topics/model-context-protocol" TargetMode="External"/><Relationship Id="rId11" Type="http://schemas.openxmlformats.org/officeDocument/2006/relationships/hyperlink" Target="https://www.tomshardware.com/tech-industry/artificial-intelligence/95-percent-of-generative-ai-implementations-in-enterprise-have-no-measurable-impact-on-p-and-l-says-mit-flawed-integration-key-reason-why-ai-projects-underperform" TargetMode="External"/><Relationship Id="rId12" Type="http://schemas.openxmlformats.org/officeDocument/2006/relationships/hyperlink" Target="https://www.techradar.com/pro/american-companies-have-invested-billions-in-ai-initiatives-but-have-basically-nothing-to-show-for-it" TargetMode="External"/><Relationship Id="rId13" Type="http://schemas.openxmlformats.org/officeDocument/2006/relationships/hyperlink" Target="https://www.reuters.com/business/microsoft-wants-ai-agents-work-together-remember-things-2025-05-19/" TargetMode="External"/><Relationship Id="rId14" Type="http://schemas.openxmlformats.org/officeDocument/2006/relationships/hyperlink" Target="https://www.axios.com/sponsored/workato-delivers-industrys-first-enterprise-mcp-platform-for-ai-agents" TargetMode="External"/><Relationship Id="rId15" Type="http://schemas.openxmlformats.org/officeDocument/2006/relationships/hyperlink" Target="https://www.youtube.com/watch?v=kFcb9861yg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