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Ensuring effective ERP‑AP integration is key to realising automation benefits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promise of accounts payable automation is straightforward: remove manual data entry, speed approvals and closings, and deliver measurable return on investment. According to the original report, that promise frequently unravels when the integration between the AP automation platform and the enterprise resource planning (ERP) system is superficial or brittle. </w:t>
      </w:r>
      <w:hyperlink r:id="rId9">
        <w:r>
          <w:rPr>
            <w:color w:val="0000EE"/>
            <w:u w:val="single"/>
          </w:rPr>
          <w:t>[1]</w:t>
        </w:r>
      </w:hyperlink>
      <w:r/>
    </w:p>
    <w:p>
      <w:r/>
      <w:r>
        <w:t xml:space="preserve">A robust integration is not a technical nicety; it is the foundation of whether automation will replace manual effort or merely shift it elsewhere. Industry data shows tightly coupled ERP–AP workflows eliminate duplicate data entry, reduce human error, accelerate approval flows and give finance teams real‑time visibility , all drivers of the cost and time savings organisations expect. </w:t>
      </w:r>
      <w:hyperlink r:id="rId10">
        <w:r>
          <w:rPr>
            <w:color w:val="0000EE"/>
            <w:u w:val="single"/>
          </w:rPr>
          <w:t>[2]</w:t>
        </w:r>
      </w:hyperlink>
      <w:hyperlink r:id="rId11">
        <w:r>
          <w:rPr>
            <w:color w:val="0000EE"/>
            <w:u w:val="single"/>
          </w:rPr>
          <w:t>[3]</w:t>
        </w:r>
      </w:hyperlink>
      <w:r/>
    </w:p>
    <w:p>
      <w:r/>
      <w:r>
        <w:t xml:space="preserve">Practical signs that an integration has failed are commonplace. Teams still re‑key invoice fields, GL codes and vendor details; month‑end reconciliations remain lengthy because records do not match across systems; and managers build spreadsheets to bridge contradictory reports. The result is that the original business case for automation collapses under the weight of continued manual work. </w:t>
      </w:r>
      <w:hyperlink r:id="rId9">
        <w:r>
          <w:rPr>
            <w:color w:val="0000EE"/>
            <w:u w:val="single"/>
          </w:rPr>
          <w:t>[1]</w:t>
        </w:r>
      </w:hyperlink>
      <w:hyperlink r:id="rId12">
        <w:r>
          <w:rPr>
            <w:color w:val="0000EE"/>
            <w:u w:val="single"/>
          </w:rPr>
          <w:t>[4]</w:t>
        </w:r>
      </w:hyperlink>
      <w:hyperlink r:id="rId13">
        <w:r>
          <w:rPr>
            <w:color w:val="0000EE"/>
            <w:u w:val="single"/>
          </w:rPr>
          <w:t>[6]</w:t>
        </w:r>
      </w:hyperlink>
      <w:r/>
    </w:p>
    <w:p>
      <w:r/>
      <w:r>
        <w:t xml:space="preserve">Exception management often becomes the de‑facto job of AP staff. Repeated sync failures, stuck invoices and opaque error messages turn “straight‑through processing” into a small minority of transactions, while the majority require expensive manual intervention or custom middleware to keep operations running. Those band‑aid fixes create ongoing technical debt and maintenance costs. </w:t>
      </w:r>
      <w:hyperlink r:id="rId9">
        <w:r>
          <w:rPr>
            <w:color w:val="0000EE"/>
            <w:u w:val="single"/>
          </w:rPr>
          <w:t>[1]</w:t>
        </w:r>
      </w:hyperlink>
      <w:hyperlink r:id="rId13">
        <w:r>
          <w:rPr>
            <w:color w:val="0000EE"/>
            <w:u w:val="single"/>
          </w:rPr>
          <w:t>[6]</w:t>
        </w:r>
      </w:hyperlink>
      <w:r/>
    </w:p>
    <w:p>
      <w:r/>
      <w:r>
        <w:t xml:space="preserve">The impact reaches beyond internal inefficiency. Reporting that requires pulling data from multiple systems leaves finance without a single source of truth, and suppliers receive mixed signals about payment status, damaging relationships and eroding trust. The combination undermines early payment discounts, hurts working capital optimisation and diminishes the supplier experience.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[5]</w:t>
        </w:r>
      </w:hyperlink>
      <w:r/>
    </w:p>
    <w:p>
      <w:r/>
      <w:r>
        <w:t xml:space="preserve">Many vendors and implementers default to generic connectors or flat‑file exchanges that prioritise compatibility with many ERPs over depth of integration. Those approaches lack real‑time synchronisation, field‑level validation and robust error handling, and they struggle with ERP‑specific workflows such as complex approval hierarchies or three‑way matching. Purpose‑built integrations that use native APIs and recognise system‑specific data structures can avoid those pitfalls. </w:t>
      </w:r>
      <w:hyperlink r:id="rId9">
        <w:r>
          <w:rPr>
            <w:color w:val="0000EE"/>
            <w:u w:val="single"/>
          </w:rPr>
          <w:t>[1]</w:t>
        </w:r>
      </w:hyperlink>
      <w:hyperlink r:id="rId12">
        <w:r>
          <w:rPr>
            <w:color w:val="0000EE"/>
            <w:u w:val="single"/>
          </w:rPr>
          <w:t>[4]</w:t>
        </w:r>
      </w:hyperlink>
      <w:hyperlink r:id="rId13">
        <w:r>
          <w:rPr>
            <w:color w:val="0000EE"/>
            <w:u w:val="single"/>
          </w:rPr>
          <w:t>[6]</w:t>
        </w:r>
      </w:hyperlink>
      <w:r/>
    </w:p>
    <w:p>
      <w:r/>
      <w:r>
        <w:t xml:space="preserve">When done correctly, ERP‑native AP automation delivers the expected benefits: faster approvals and payments, stronger compliance through unified audit trails, fewer duplicate payments and lower operating costs, and improved supplier relationships through consistent, transparent communications. Industry reporting shows these outcomes are most reliably achieved when integration architecture, not feature lists alone, drives vendor selection. </w:t>
      </w:r>
      <w:hyperlink r:id="rId10">
        <w:r>
          <w:rPr>
            <w:color w:val="0000EE"/>
            <w:u w:val="single"/>
          </w:rPr>
          <w:t>[2]</w:t>
        </w:r>
      </w:hyperlink>
      <w:hyperlink r:id="rId11">
        <w:r>
          <w:rPr>
            <w:color w:val="0000EE"/>
            <w:u w:val="single"/>
          </w:rPr>
          <w:t>[3]</w:t>
        </w:r>
      </w:hyperlink>
      <w:hyperlink r:id="rId14">
        <w:r>
          <w:rPr>
            <w:color w:val="0000EE"/>
            <w:u w:val="single"/>
          </w:rPr>
          <w:t>[5]</w:t>
        </w:r>
      </w:hyperlink>
      <w:hyperlink r:id="rId15">
        <w:r>
          <w:rPr>
            <w:color w:val="0000EE"/>
            <w:u w:val="single"/>
          </w:rPr>
          <w:t>[7]</w:t>
        </w:r>
      </w:hyperlink>
      <w:r/>
    </w:p>
    <w:p>
      <w:r/>
      <w:r>
        <w:t xml:space="preserve">The practical test for buyers is straightforward: evaluate the integration architecture before signing on for features. Demand evidence that the connection handles your ERP’s unique fields and business logic, supports real‑time status updates and automated retries, and minimises the need for bespoke middleware. Organisations that prioritise purpose‑built connections are likelier to realise the ROI promised in the sales demo and avoid the recurring costs of workarounds. </w:t>
      </w:r>
      <w:hyperlink r:id="rId9">
        <w:r>
          <w:rPr>
            <w:color w:val="0000EE"/>
            <w:u w:val="single"/>
          </w:rPr>
          <w:t>[1]</w:t>
        </w:r>
      </w:hyperlink>
      <w:hyperlink r:id="rId12">
        <w:r>
          <w:rPr>
            <w:color w:val="0000EE"/>
            <w:u w:val="single"/>
          </w:rPr>
          <w:t>[4]</w:t>
        </w:r>
      </w:hyperlink>
      <w:hyperlink r:id="rId13">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(Fidesic blog) - Paragraph 1, Paragraph 3, Paragraph 4, Paragraph 5, Paragraph 6, Paragraph 8</w:t>
      </w:r>
      <w:r/>
    </w:p>
    <w:p>
      <w:pPr>
        <w:pStyle w:val="ListBullet"/>
        <w:spacing w:line="240" w:lineRule="auto"/>
        <w:ind w:left="720"/>
      </w:pPr>
      <w:r/>
      <w:hyperlink r:id="rId10">
        <w:r>
          <w:rPr>
            <w:color w:val="0000EE"/>
            <w:u w:val="single"/>
          </w:rPr>
          <w:t>[2]</w:t>
        </w:r>
      </w:hyperlink>
      <w:r>
        <w:t xml:space="preserve"> (Medius blog) - Paragraph 2, Paragraph 5, Paragraph 7</w:t>
      </w:r>
      <w:r/>
    </w:p>
    <w:p>
      <w:pPr>
        <w:pStyle w:val="ListBullet"/>
        <w:spacing w:line="240" w:lineRule="auto"/>
        <w:ind w:left="720"/>
      </w:pPr>
      <w:r/>
      <w:hyperlink r:id="rId11">
        <w:r>
          <w:rPr>
            <w:color w:val="0000EE"/>
            <w:u w:val="single"/>
          </w:rPr>
          <w:t>[3]</w:t>
        </w:r>
      </w:hyperlink>
      <w:r>
        <w:t xml:space="preserve"> (Rillion blog) - Paragraph 2, Paragraph 5, Paragraph 7</w:t>
      </w:r>
      <w:r/>
    </w:p>
    <w:p>
      <w:pPr>
        <w:pStyle w:val="ListBullet"/>
        <w:spacing w:line="240" w:lineRule="auto"/>
        <w:ind w:left="720"/>
      </w:pPr>
      <w:r/>
      <w:hyperlink r:id="rId12">
        <w:r>
          <w:rPr>
            <w:color w:val="0000EE"/>
            <w:u w:val="single"/>
          </w:rPr>
          <w:t>[4]</w:t>
        </w:r>
      </w:hyperlink>
      <w:r>
        <w:t xml:space="preserve"> (Sage blog) - Paragraph 3, Paragraph 6, Paragraph 8</w:t>
      </w:r>
      <w:r/>
    </w:p>
    <w:p>
      <w:pPr>
        <w:pStyle w:val="ListBullet"/>
        <w:spacing w:line="240" w:lineRule="auto"/>
        <w:ind w:left="720"/>
      </w:pPr>
      <w:r/>
      <w:hyperlink r:id="rId14">
        <w:r>
          <w:rPr>
            <w:color w:val="0000EE"/>
            <w:u w:val="single"/>
          </w:rPr>
          <w:t>[5]</w:t>
        </w:r>
      </w:hyperlink>
      <w:r>
        <w:t xml:space="preserve"> (Naviant blog) - Paragraph 5, Paragraph 7</w:t>
      </w:r>
      <w:r/>
    </w:p>
    <w:p>
      <w:pPr>
        <w:pStyle w:val="ListBullet"/>
        <w:spacing w:line="240" w:lineRule="auto"/>
        <w:ind w:left="720"/>
      </w:pPr>
      <w:r/>
      <w:hyperlink r:id="rId13">
        <w:r>
          <w:rPr>
            <w:color w:val="0000EE"/>
            <w:u w:val="single"/>
          </w:rPr>
          <w:t>[6]</w:t>
        </w:r>
      </w:hyperlink>
      <w:r>
        <w:t xml:space="preserve"> (ScryAI blog) - Paragraph 3, Paragraph 4, Paragraph 6, Paragraph 8</w:t>
      </w:r>
      <w:r/>
    </w:p>
    <w:p>
      <w:pPr>
        <w:pStyle w:val="ListBullet"/>
        <w:spacing w:line="240" w:lineRule="auto"/>
        <w:ind w:left="720"/>
      </w:pPr>
      <w:r/>
      <w:hyperlink r:id="rId15">
        <w:r>
          <w:rPr>
            <w:color w:val="0000EE"/>
            <w:u w:val="single"/>
          </w:rPr>
          <w:t>[7]</w:t>
        </w:r>
      </w:hyperlink>
      <w:r>
        <w:t xml:space="preserve"> (Medius blog)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https://www.fidesic.com/blog/when-your-ap-automation-integration-isnt-really-integrated</w:t>
        </w:r>
      </w:hyperlink>
      <w:r>
        <w:t xml:space="preserve"> - Please view link - unable to able to access data</w:t>
      </w:r>
      <w:r/>
    </w:p>
    <w:p>
      <w:pPr>
        <w:pStyle w:val="ListNumber"/>
        <w:spacing w:line="240" w:lineRule="auto"/>
        <w:ind w:left="720"/>
      </w:pPr>
      <w:r/>
      <w:hyperlink r:id="rId10">
        <w:r>
          <w:rPr>
            <w:color w:val="0000EE"/>
            <w:u w:val="single"/>
          </w:rPr>
          <w:t>https://www.medius.com/blog/the-benefits-of-integrating-erp-with-ap-automation/</w:t>
        </w:r>
      </w:hyperlink>
      <w:r>
        <w:t xml:space="preserve"> - Integrating ERP with AP automation enhances operational efficiency by reducing manual data entry and automating approval workflows. It improves financial visibility through real-time access to invoice data, strengthens compliance with unified audit trails, and offers cost savings by capturing early payment discounts and reducing processing costs. The integration also supports scalability for business growth and fosters better supplier relationships by ensuring timely payments and transparent communication.</w:t>
      </w:r>
      <w:r/>
    </w:p>
    <w:p>
      <w:pPr>
        <w:pStyle w:val="ListNumber"/>
        <w:spacing w:line="240" w:lineRule="auto"/>
        <w:ind w:left="720"/>
      </w:pPr>
      <w:r/>
      <w:hyperlink r:id="rId11">
        <w:r>
          <w:rPr>
            <w:color w:val="0000EE"/>
            <w:u w:val="single"/>
          </w:rPr>
          <w:t>https://www.rillion.com/us/blog/ap-automation-erp-benefits/</w:t>
        </w:r>
      </w:hyperlink>
      <w:r>
        <w:t xml:space="preserve"> - Integrating AP automation with ERP systems offers several key benefits: faster approvals and smoother payment processes, enhanced financial visibility with real-time reporting, cost savings through reduced processing costs and elimination of duplicate payments, strengthened supplier relationships via timely payments and improved communication, improved compliance and risk management with automated audit trails and fraud detection, and reduced licensing costs and improved user experience by streamlining processes and reducing manual work.</w:t>
      </w:r>
      <w:r/>
    </w:p>
    <w:p>
      <w:pPr>
        <w:pStyle w:val="ListNumber"/>
        <w:spacing w:line="240" w:lineRule="auto"/>
        <w:ind w:left="720"/>
      </w:pPr>
      <w:r/>
      <w:hyperlink r:id="rId12">
        <w:r>
          <w:rPr>
            <w:color w:val="0000EE"/>
            <w:u w:val="single"/>
          </w:rPr>
          <w:t>https://www.sage.com/en-us/blog/seven-pitfalls-to-avoid-when-implementing-ap-automation/</w:t>
        </w:r>
      </w:hyperlink>
      <w:r>
        <w:t xml:space="preserve"> - Implementing AP automation requires careful consideration to avoid common pitfalls. Organisations should understand how supplier invoices arrive in various formats and ensure their AP solution can process all types. It's crucial to validate vendor claims about workflow configurability to prevent inflexible workflows. Additionally, organisations should be aware of potential issues such as poor data quality, inadequate exception handling, and lack of compliance tracking, which can lead to operational inefficiencies and increased risks.</w:t>
      </w:r>
      <w:r/>
    </w:p>
    <w:p>
      <w:pPr>
        <w:pStyle w:val="ListNumber"/>
        <w:spacing w:line="240" w:lineRule="auto"/>
        <w:ind w:left="720"/>
      </w:pPr>
      <w:r/>
      <w:hyperlink r:id="rId14">
        <w:r>
          <w:rPr>
            <w:color w:val="0000EE"/>
            <w:u w:val="single"/>
          </w:rPr>
          <w:t>https://naviant.com/blog/ap-automation-erp/</w:t>
        </w:r>
      </w:hyperlink>
      <w:r>
        <w:t xml:space="preserve"> - Integrating AP automation with ERP systems maximises operational efficiency by reducing manual data entry and accelerating the AP process. It enhances accuracy through advanced capture capabilities, saves time with faster processing cycles, and reduces operational costs by eliminating paper and manual tasks. The integration also provides greater control and oversight, ensuring compliance and improving financial visibility, which is essential for organisations processing a high volume of invoices.</w:t>
      </w:r>
      <w:r/>
    </w:p>
    <w:p>
      <w:pPr>
        <w:pStyle w:val="ListNumber"/>
        <w:spacing w:line="240" w:lineRule="auto"/>
        <w:ind w:left="720"/>
      </w:pPr>
      <w:r/>
      <w:hyperlink r:id="rId13">
        <w:r>
          <w:rPr>
            <w:color w:val="0000EE"/>
            <w:u w:val="single"/>
          </w:rPr>
          <w:t>https://scryai.com/blog/ap-automation-implementation-avoiding-costly-mistakes/</w:t>
        </w:r>
      </w:hyperlink>
      <w:r>
        <w:t xml:space="preserve"> - Implementing AP automation requires careful planning to avoid costly mistakes. Overcustomisation without scalability can lead to technical debt and high maintenance costs. Delayed or failed integration with ERP systems results in duplicated efforts and inconsistent financial data. Poor data quality or vendor master issues can trigger payment errors and missed early payment discounts. Inadequate exception handling logic increases AP staff workload and defeats the purpose of automation, while lack of compliance tracking opens the organisation to fraud and policy violations.</w:t>
      </w:r>
      <w:r/>
    </w:p>
    <w:p>
      <w:pPr>
        <w:pStyle w:val="ListNumber"/>
        <w:spacing w:line="240" w:lineRule="auto"/>
        <w:ind w:left="720"/>
      </w:pPr>
      <w:r/>
      <w:hyperlink r:id="rId15">
        <w:r>
          <w:rPr>
            <w:color w:val="0000EE"/>
            <w:u w:val="single"/>
          </w:rPr>
          <w:t>https://www.medius.com/blog/how-ap-automation-helps-manufacturing-companies/</w:t>
        </w:r>
      </w:hyperlink>
      <w:r>
        <w:t xml:space="preserve"> - Integrating AP automation with existing manufacturing ERP systems enhances operational efficiency by reducing manual data entry and automating approval workflows. It improves financial visibility through real-time access to invoice data, strengthens compliance with unified audit trails, and offers cost savings by capturing early payment discounts and reducing processing costs. The integration also supports scalability for business growth and fosters better supplier relationships by ensuring timely payments and transparent communication.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desic.com/blog/when-your-ap-automation-integration-isnt-really-integrated" TargetMode="External"/><Relationship Id="rId10" Type="http://schemas.openxmlformats.org/officeDocument/2006/relationships/hyperlink" Target="https://www.medius.com/blog/the-benefits-of-integrating-erp-with-ap-automation/" TargetMode="External"/><Relationship Id="rId11" Type="http://schemas.openxmlformats.org/officeDocument/2006/relationships/hyperlink" Target="https://www.rillion.com/us/blog/ap-automation-erp-benefits/" TargetMode="External"/><Relationship Id="rId12" Type="http://schemas.openxmlformats.org/officeDocument/2006/relationships/hyperlink" Target="https://www.sage.com/en-us/blog/seven-pitfalls-to-avoid-when-implementing-ap-automation/" TargetMode="External"/><Relationship Id="rId13" Type="http://schemas.openxmlformats.org/officeDocument/2006/relationships/hyperlink" Target="https://scryai.com/blog/ap-automation-implementation-avoiding-costly-mistakes/" TargetMode="External"/><Relationship Id="rId14" Type="http://schemas.openxmlformats.org/officeDocument/2006/relationships/hyperlink" Target="https://naviant.com/blog/ap-automation-erp/" TargetMode="External"/><Relationship Id="rId15" Type="http://schemas.openxmlformats.org/officeDocument/2006/relationships/hyperlink" Target="https://www.medius.com/blog/how-ap-automation-helps-manufacturing-compan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