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Ridger’s MIMO system accelerates desktop AI clusters with high-performance storage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Engineered for the AI era, Ridger's MIMO system was unveiled in Asia this month as what the company and early observers describe as an "AI-native storage species" designed to bring data-centre class throughput and concurrency to desktop and edge environments. According to the original report, MIMO is claimed to deliver 400 GB/s bandwidth, 54 million IOPS and 40–90 μs latency in a suitcase‑sized form factor, positioning the device as both a high‑performance data hub for large GPU clusters and a mobile platform for constrained or distributed sites. </w:t>
      </w:r>
      <w:hyperlink r:id="rId9">
        <w:r>
          <w:rPr>
            <w:color w:val="0000EE"/>
            <w:u w:val="single"/>
          </w:rPr>
          <w:t>[1]</w:t>
        </w:r>
      </w:hyperlink>
      <w:r/>
    </w:p>
    <w:p>
      <w:r/>
      <w:r>
        <w:t xml:space="preserve">At the China Hi‑Tech Fair, a visiting AI architect from New York told organisers: "Maximize input, maximize output, perfect, this is the architectural breakthrough we’ve been waiting for. I never expected to witness it here in the East". That testimony, and other on‑site reactions, framed MIMO as an attempt to compress the scale and throughput historically reserved for racks into a transportable appliance. Academic endorsement came from Professor Zhang Sheng of Tsinghua University Shenzhen International Graduate School, who said: "With this solution, we finally no longer have to rely on the university’s data center. Our current annual budget alone is enough to deploy an AI cluster within our lab that better fits our needs, this will significantly boost our research efficiency both technically and operationally. It’s truly fantastic news." </w:t>
      </w:r>
      <w:hyperlink r:id="rId9">
        <w:r>
          <w:rPr>
            <w:color w:val="0000EE"/>
            <w:u w:val="single"/>
          </w:rPr>
          <w:t>[1]</w:t>
        </w:r>
      </w:hyperlink>
      <w:r/>
    </w:p>
    <w:p>
      <w:r/>
      <w:r>
        <w:t xml:space="preserve">Ridger positions MIMO not as a simple block device but as an architectural element intended to speed parallel model training and high‑concurrency inference across local clusters. The company demonstrated the system working with DGX Spark units based on NVIDIA’s GB10 Grace Blackwell superchip, arguing the combination can manage end‑to‑end workflows from pre‑training and fine‑tuning to production inference within independent AI clusters of up to 16 compute nodes in constrained environments. According to the original report, that is aimed at labs, edge sites and distributed teams seeking enterprise‑grade AI capability without centralised data‑centre dependency. </w:t>
      </w:r>
      <w:hyperlink r:id="rId9">
        <w:r>
          <w:rPr>
            <w:color w:val="0000EE"/>
            <w:u w:val="single"/>
          </w:rPr>
          <w:t>[1]</w:t>
        </w:r>
      </w:hyperlink>
      <w:r/>
    </w:p>
    <w:p>
      <w:r/>
      <w:r>
        <w:t xml:space="preserve">The choice of NVIDIA’s DGX Spark as a target integration point is significant. NVIDIA describes DGX Spark as a compact personal AI supercomputer powered by the GB10 Grace Blackwell superchip , a 20‑core Arm CPU paired with Blackwell GPU architecture, 128 GB of unified memory and 4 TB of NVMe M.2 storage , designed to enable desktop deployment of models up to roughly 200 billion parameters and deliver up to a petaflop of AI performance. Industry literature also notes DGX Spark’s intent to let developers prototype and run large models locally. Those capabilities provide the compute complement to Ridger’s storage claims. </w:t>
      </w:r>
      <w:hyperlink r:id="rId10">
        <w:r>
          <w:rPr>
            <w:color w:val="0000EE"/>
            <w:u w:val="single"/>
          </w:rPr>
          <w:t>[2]</w:t>
        </w:r>
      </w:hyperlink>
      <w:hyperlink r:id="rId11">
        <w:r>
          <w:rPr>
            <w:color w:val="0000EE"/>
            <w:u w:val="single"/>
          </w:rPr>
          <w:t>[3]</w:t>
        </w:r>
      </w:hyperlink>
      <w:hyperlink r:id="rId12">
        <w:r>
          <w:rPr>
            <w:color w:val="0000EE"/>
            <w:u w:val="single"/>
          </w:rPr>
          <w:t>[5]</w:t>
        </w:r>
      </w:hyperlink>
      <w:hyperlink r:id="rId13">
        <w:r>
          <w:rPr>
            <w:color w:val="0000EE"/>
            <w:u w:val="single"/>
          </w:rPr>
          <w:t>[6]</w:t>
        </w:r>
      </w:hyperlink>
      <w:r/>
    </w:p>
    <w:p>
      <w:r/>
      <w:r>
        <w:t xml:space="preserve">MediaTek’s co‑design role in the GB10 Grace Blackwell superchip underscores the broader industry collaboration behind the desktop AI workstation trend. MediaTek says it collaborated with NVIDIA on the GB10 design, a partnership that, together with OEM variants from Dell, HPE, Lenovo, MSI, GIGABYTE, Acer and others, creates a broad hardware ecosystem that Ridger says will ease integration and compatibility for MIMO deployments. According to the original report and industry announcements, eight OEM partners have launched Spark‑based products around GB10, which Ridger presents as validation of a compatible platform footprint. </w:t>
      </w:r>
      <w:hyperlink r:id="rId9">
        <w:r>
          <w:rPr>
            <w:color w:val="0000EE"/>
            <w:u w:val="single"/>
          </w:rPr>
          <w:t>[1]</w:t>
        </w:r>
      </w:hyperlink>
      <w:hyperlink r:id="rId14">
        <w:r>
          <w:rPr>
            <w:color w:val="0000EE"/>
            <w:u w:val="single"/>
          </w:rPr>
          <w:t>[4]</w:t>
        </w:r>
      </w:hyperlink>
      <w:r/>
    </w:p>
    <w:p>
      <w:r/>
      <w:r>
        <w:t xml:space="preserve">Early commercial signals reported by Ridger point to adoption across diverse verticals , from pathology model training to legal‑tech and industrial inspection , with a cohort of organisations joining an Early Access programme. The company says these pilot customers validate the architecture in operational contexts; industry data and vendor statements cited in related materials suggest the market is actively experimenting with desktop and clustered AI appliances as an alternative to moving all workloads into central data centres. According to the original report, Ridger positions these pilots as market validation of MIMO’s transformational potential. </w:t>
      </w:r>
      <w:hyperlink r:id="rId9">
        <w:r>
          <w:rPr>
            <w:color w:val="0000EE"/>
            <w:u w:val="single"/>
          </w:rPr>
          <w:t>[1]</w:t>
        </w:r>
      </w:hyperlink>
      <w:r/>
    </w:p>
    <w:p>
      <w:r/>
      <w:r>
        <w:t xml:space="preserve">Ridger also announced plans for a global roll‑out of MIMO product lines and tailored solution bundles sold through a Ridger Official Global Store, which the company says will accept multiple fiat currencies and cryptocurrencies to ease procurement. The original announcement describes the store as a "frictionless procurement channel" and invites organisations to engage Ridger or NVIDIA Elite Solution Partner SinoInfo for deeper technical briefings. The issuer‑attributed release includes standard corporate positioning about the company’s mission to democratise AI infrastructure while emphasising that "the issuer is solely responsible for the content of this announcement." </w:t>
      </w:r>
      <w:hyperlink r:id="rId9">
        <w:r>
          <w:rPr>
            <w:color w:val="0000EE"/>
            <w:u w:val="single"/>
          </w:rPr>
          <w:t>[1]</w:t>
        </w:r>
      </w:hyperlink>
      <w:r/>
    </w:p>
    <w:p>
      <w:r/>
      <w:r>
        <w:t xml:space="preserve">Viewed against recent industry developments , the emergence of GB10‑based desktop supercomputers and a proliferation of OEM‑branded Spark machines , Ridger’s MIMO claim reads as an attempt to create a portable storage tier optimised for high‑throughput AI workflows at the edge and on‑premises. The company frames this as lowering the barrier to deployable AI clusters; independent observers and early adopters cited in the original report liken the moment to an "IBM PC moment" for AI infrastructure, converting specialised capability into a more accessible utility. As with all vendor‑led launches, independent performance validation and real‑world deployment reports will be essential to substantiate the throughput, latency and operational claims made at launch.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(European Business Magazine / Media OutReach) - Paragraph 1, Paragraph 2, Paragraph 3, Paragraph 6, Paragraph 7, Paragraph 8 </w:t>
      </w:r>
      <w:r/>
    </w:p>
    <w:p>
      <w:pPr>
        <w:pStyle w:val="ListBullet"/>
        <w:spacing w:line="240" w:lineRule="auto"/>
        <w:ind w:left="720"/>
      </w:pPr>
      <w:r/>
      <w:hyperlink r:id="rId10">
        <w:r>
          <w:rPr>
            <w:color w:val="0000EE"/>
            <w:u w:val="single"/>
          </w:rPr>
          <w:t>[2]</w:t>
        </w:r>
      </w:hyperlink>
      <w:r>
        <w:t xml:space="preserve"> (NVIDIA product page) - Paragraph 4 </w:t>
      </w:r>
      <w:r/>
    </w:p>
    <w:p>
      <w:pPr>
        <w:pStyle w:val="ListBullet"/>
        <w:spacing w:line="240" w:lineRule="auto"/>
        <w:ind w:left="720"/>
      </w:pPr>
      <w:r/>
      <w:hyperlink r:id="rId11">
        <w:r>
          <w:rPr>
            <w:color w:val="0000EE"/>
            <w:u w:val="single"/>
          </w:rPr>
          <w:t>[3]</w:t>
        </w:r>
      </w:hyperlink>
      <w:r>
        <w:t xml:space="preserve"> (NVIDIA press release) - Paragraph 4 </w:t>
      </w:r>
      <w:r/>
    </w:p>
    <w:p>
      <w:pPr>
        <w:pStyle w:val="ListBullet"/>
        <w:spacing w:line="240" w:lineRule="auto"/>
        <w:ind w:left="720"/>
      </w:pPr>
      <w:r/>
      <w:hyperlink r:id="rId14">
        <w:r>
          <w:rPr>
            <w:color w:val="0000EE"/>
            <w:u w:val="single"/>
          </w:rPr>
          <w:t>[4]</w:t>
        </w:r>
      </w:hyperlink>
      <w:r>
        <w:t xml:space="preserve"> (MediaTek press release) - Paragraph 5 </w:t>
      </w:r>
      <w:r/>
    </w:p>
    <w:p>
      <w:pPr>
        <w:pStyle w:val="ListBullet"/>
        <w:spacing w:line="240" w:lineRule="auto"/>
        <w:ind w:left="720"/>
      </w:pPr>
      <w:r/>
      <w:hyperlink r:id="rId12">
        <w:r>
          <w:rPr>
            <w:color w:val="0000EE"/>
            <w:u w:val="single"/>
          </w:rPr>
          <w:t>[5]</w:t>
        </w:r>
      </w:hyperlink>
      <w:r>
        <w:t xml:space="preserve"> (NVIDIA news) - Paragraph 4 </w:t>
      </w:r>
      <w:r/>
    </w:p>
    <w:p>
      <w:pPr>
        <w:pStyle w:val="ListBullet"/>
        <w:spacing w:line="240" w:lineRule="auto"/>
        <w:ind w:left="720"/>
      </w:pPr>
      <w:r/>
      <w:hyperlink r:id="rId13">
        <w:r>
          <w:rPr>
            <w:color w:val="0000EE"/>
            <w:u w:val="single"/>
          </w:rPr>
          <w:t>[6]</w:t>
        </w:r>
      </w:hyperlink>
      <w:r>
        <w:t xml:space="preserve"> (AMAX datasheet)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peanbusinessmagazine.com/media-outreach/mimo-the-ai-native-storage-species-enables-desktop-scale-ai-clusters-with-nvidia-dgx-spark/?utm_source=rss&amp;utm_medium=rss&amp;utm_campaign=mimo-the-ai-native-storage-species-enables-desktop-scale-ai-clusters-with-nvidia-dgx-spark</w:t>
        </w:r>
      </w:hyperlink>
      <w:r>
        <w:t xml:space="preserve"> - Please view link - unable to able to access data</w:t>
      </w:r>
      <w:r/>
    </w:p>
    <w:p>
      <w:pPr>
        <w:pStyle w:val="ListNumber"/>
        <w:spacing w:line="240" w:lineRule="auto"/>
        <w:ind w:left="720"/>
      </w:pPr>
      <w:r/>
      <w:hyperlink r:id="rId10">
        <w:r>
          <w:rPr>
            <w:color w:val="0000EE"/>
            <w:u w:val="single"/>
          </w:rPr>
          <w:t>https://www.nvidia.com/en-us/products/workstations/dgx-spark/</w:t>
        </w:r>
      </w:hyperlink>
      <w:r>
        <w:t xml:space="preserve"> - NVIDIA's DGX Spark is a compact AI supercomputer featuring the GB10 Grace Blackwell Superchip, delivering up to 1 PFLOP of AI performance. It includes a 20-core Arm CPU, Blackwell GPU, 128GB of unified memory, and 4TB of NVMe M.2 storage. Designed for AI developers, it supports models up to 200 billion parameters and offers seamless integration with NVIDIA's AI software stack. The system's dimensions are 150mm L x 150mm W x 50.5mm H, making it suitable for desktop deployment.</w:t>
      </w:r>
      <w:r/>
    </w:p>
    <w:p>
      <w:pPr>
        <w:pStyle w:val="ListNumber"/>
        <w:spacing w:line="240" w:lineRule="auto"/>
        <w:ind w:left="720"/>
      </w:pPr>
      <w:r/>
      <w:hyperlink r:id="rId11">
        <w:r>
          <w:rPr>
            <w:color w:val="0000EE"/>
            <w:u w:val="single"/>
          </w:rPr>
          <w:t>https://nvidianews.nvidia.com/news/nvidia-announces-dgx-spark-and-dgx-station-personal-ai-computers</w:t>
        </w:r>
      </w:hyperlink>
      <w:r>
        <w:t xml:space="preserve"> - NVIDIA has introduced DGX Spark and DGX Station, personal AI supercomputers powered by the GB10 Grace Blackwell Superchip. DGX Spark is the world's smallest AI supercomputer, enabling researchers and developers to run large AI models on desktops. It features a 20-core Arm CPU, Blackwell GPU, 128GB of unified memory, and 4TB of NVMe M.2 storage. DGX Station offers data-center-level performance for AI development, with a larger form factor and enhanced capabilities.</w:t>
      </w:r>
      <w:r/>
    </w:p>
    <w:p>
      <w:pPr>
        <w:pStyle w:val="ListNumber"/>
        <w:spacing w:line="240" w:lineRule="auto"/>
        <w:ind w:left="720"/>
      </w:pPr>
      <w:r/>
      <w:hyperlink r:id="rId14">
        <w:r>
          <w:rPr>
            <w:color w:val="0000EE"/>
            <w:u w:val="single"/>
          </w:rPr>
          <w:t>https://www.mediatek.com/press-room/newly-launched-nvidia-dgx-spark-features-gb10-superchip-co-designed-by-mediatek</w:t>
        </w:r>
      </w:hyperlink>
      <w:r>
        <w:t xml:space="preserve"> - MediaTek collaborated with NVIDIA to design the GB10 Grace Blackwell Superchip used in the DGX Spark personal AI supercomputer. The GB10 Superchip combines a 20-core Arm CPU with the latest Blackwell GPU architecture and 128GB of unified memory, delivering up to 1 PFLOP of AI performance. This partnership continues MediaTek's history of advancing AI innovation across various platforms, including supercomputers and IoT devices.</w:t>
      </w:r>
      <w:r/>
    </w:p>
    <w:p>
      <w:pPr>
        <w:pStyle w:val="ListNumber"/>
        <w:spacing w:line="240" w:lineRule="auto"/>
        <w:ind w:left="720"/>
      </w:pPr>
      <w:r/>
      <w:hyperlink r:id="rId12">
        <w:r>
          <w:rPr>
            <w:color w:val="0000EE"/>
            <w:u w:val="single"/>
          </w:rPr>
          <w:t>https://nvidianews.nvidia.com/news/nvidia-puts-grace-blackwell-on-every-desk-and-at-every-ai-developers-fingertips</w:t>
        </w:r>
      </w:hyperlink>
      <w:r>
        <w:t xml:space="preserve"> - NVIDIA's Project DIGITS, now known as DGX Spark, is a personal AI supercomputer featuring the GB10 Grace Blackwell Superchip. It provides AI researchers, data scientists, and students with access to a petaflop of AI computing performance for prototyping, fine-tuning, and running large AI models. The system includes a 20-core Arm CPU, Blackwell GPU, 128GB of unified memory, and 4TB of NVMe M.2 storage, all within a compact desktop form factor.</w:t>
      </w:r>
      <w:r/>
    </w:p>
    <w:p>
      <w:pPr>
        <w:pStyle w:val="ListNumber"/>
        <w:spacing w:line="240" w:lineRule="auto"/>
        <w:ind w:left="720"/>
      </w:pPr>
      <w:r/>
      <w:hyperlink r:id="rId13">
        <w:r>
          <w:rPr>
            <w:color w:val="0000EE"/>
            <w:u w:val="single"/>
          </w:rPr>
          <w:t>https://www.amax.com/content/files/2025/05/NVIDIA-DGX-Spark-A4.pdf</w:t>
        </w:r>
      </w:hyperlink>
      <w:r>
        <w:t xml:space="preserve"> - AMAX's datasheet for the NVIDIA DGX Spark outlines its specifications, including the GB10 Grace Blackwell Superchip with 1,000 AI TOPS performance, 128GB of unified memory, and support for models up to 200 billion parameters. The system is designed for local development of large AI models and offers a compact form factor suitable for desktop deployment. It also supports clustering two systems to run models up to 405 billion parameters.</w:t>
      </w:r>
      <w:r/>
    </w:p>
    <w:p>
      <w:pPr>
        <w:pStyle w:val="ListNumber"/>
        <w:spacing w:line="240" w:lineRule="auto"/>
        <w:ind w:left="720"/>
      </w:pPr>
      <w:r/>
      <w:hyperlink r:id="rId16">
        <w:r>
          <w:rPr>
            <w:color w:val="0000EE"/>
            <w:u w:val="single"/>
          </w:rPr>
          <w:t>https://www.amax.com/content/files/2025/05/NVIDIA-DGX-Spark-1-Pager-6.pdf</w:t>
        </w:r>
      </w:hyperlink>
      <w:r>
        <w:t xml:space="preserve"> - AMAX's one-pager for the NVIDIA DGX Spark highlights its key features, including the GB10 Grace Blackwell Superchip with up to 1,000 AI TOPS at FP4, 128GB of coherent unified memory, and support for models up to 200 billion parameters. The system is built for AI at any scale, providing a compact platform for developers to prototype, fine-tune, and inference the latest generation of reasoning AI models using NVIDIA's AI software stack.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peanbusinessmagazine.com/media-outreach/mimo-the-ai-native-storage-species-enables-desktop-scale-ai-clusters-with-nvidia-dgx-spark/?utm_source=rss&amp;utm_medium=rss&amp;utm_campaign=mimo-the-ai-native-storage-species-enables-desktop-scale-ai-clusters-with-nvidia-dgx-spark" TargetMode="External"/><Relationship Id="rId10" Type="http://schemas.openxmlformats.org/officeDocument/2006/relationships/hyperlink" Target="https://www.nvidia.com/en-us/products/workstations/dgx-spark/" TargetMode="External"/><Relationship Id="rId11" Type="http://schemas.openxmlformats.org/officeDocument/2006/relationships/hyperlink" Target="https://nvidianews.nvidia.com/news/nvidia-announces-dgx-spark-and-dgx-station-personal-ai-computers" TargetMode="External"/><Relationship Id="rId12" Type="http://schemas.openxmlformats.org/officeDocument/2006/relationships/hyperlink" Target="https://nvidianews.nvidia.com/news/nvidia-puts-grace-blackwell-on-every-desk-and-at-every-ai-developers-fingertips" TargetMode="External"/><Relationship Id="rId13" Type="http://schemas.openxmlformats.org/officeDocument/2006/relationships/hyperlink" Target="https://www.amax.com/content/files/2025/05/NVIDIA-DGX-Spark-A4.pdf" TargetMode="External"/><Relationship Id="rId14" Type="http://schemas.openxmlformats.org/officeDocument/2006/relationships/hyperlink" Target="https://www.mediatek.com/press-room/newly-launched-nvidia-dgx-spark-features-gb10-superchip-co-designed-by-mediatek" TargetMode="External"/><Relationship Id="rId15" Type="http://schemas.openxmlformats.org/officeDocument/2006/relationships/hyperlink" Target="https://www.noahwire.com" TargetMode="External"/><Relationship Id="rId16" Type="http://schemas.openxmlformats.org/officeDocument/2006/relationships/hyperlink" Target="https://www.amax.com/content/files/2025/05/NVIDIA-DGX-Spark-1-Pager-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