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Stablecoins accelerate from niche assets to mainstream settlement infrastructure amid regulatory and technological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According to the original report compiled for PANews and edited by Sonal Chokshi of a16z, stablecoins have moved from niche trading instruments toward becoming a foundational settlement layer for internet-scale payments, even as the industry wrestles with how to connect on‑chain dollars to the off‑chain financial infrastructure people and businesses use every day. The report notes that last year stablecoin trading and transfer volumes set new records , measured in many trillions of dollars , and that transfers can now be completed in under a second for fractions of a cent, but that friction remains in reliable deposit and withdrawal rails into local currencies and bank systems. </w:t>
      </w:r>
      <w:hyperlink r:id="rId9">
        <w:r>
          <w:rPr>
            <w:color w:val="0000EE"/>
            <w:u w:val="single"/>
          </w:rPr>
          <w:t>[1]</w:t>
        </w:r>
      </w:hyperlink>
      <w:hyperlink r:id="rId10">
        <w:r>
          <w:rPr>
            <w:color w:val="0000EE"/>
            <w:u w:val="single"/>
          </w:rPr>
          <w:t>[5]</w:t>
        </w:r>
      </w:hyperlink>
      <w:hyperlink r:id="rId11">
        <w:r>
          <w:rPr>
            <w:color w:val="0000EE"/>
            <w:u w:val="single"/>
          </w:rPr>
          <w:t>[7]</w:t>
        </w:r>
      </w:hyperlink>
      <w:r/>
    </w:p>
    <w:p>
      <w:r/>
      <w:r>
        <w:t xml:space="preserve">A new generation of startups is addressing that gap by building links from stablecoins into mainstream payment rails and regional clearing systems. Some use cryptographic proofs to let users swap local bank balances for digital dollars; others integrate with real‑time payment systems and QR code ecosystems; still others layer interoperable global wallets and card issuance so stablecoins can be spent at everyday merchants. The report argues these channels will let workers receive cross‑border wages instantly, merchants accept globally circulating digital dollars without traditional bank accounts, and payment apps settle value in real time , shifting stablecoins from speculative assets to settlement infrastructure. Industry commentary and market metrics suggest this trend is already visible in pilot integrations and growing institutional interest. </w:t>
      </w:r>
      <w:hyperlink r:id="rId9">
        <w:r>
          <w:rPr>
            <w:color w:val="0000EE"/>
            <w:u w:val="single"/>
          </w:rPr>
          <w:t>[1]</w:t>
        </w:r>
      </w:hyperlink>
      <w:hyperlink r:id="rId12">
        <w:r>
          <w:rPr>
            <w:color w:val="0000EE"/>
            <w:u w:val="single"/>
          </w:rPr>
          <w:t>[6]</w:t>
        </w:r>
      </w:hyperlink>
      <w:hyperlink r:id="rId13">
        <w:r>
          <w:rPr>
            <w:color w:val="0000EE"/>
            <w:u w:val="single"/>
          </w:rPr>
          <w:t>[3]</w:t>
        </w:r>
      </w:hyperlink>
      <w:r/>
    </w:p>
    <w:p>
      <w:r/>
      <w:r>
        <w:t xml:space="preserve">The mainstreaming of stablecoins is also evident in moves by established financial players seeking regulatory and operational legitimacy. Recent filings and reports show firms pursuing national banking charters or master accounts at the Federal Reserve to sit more comfortably inside existing payment infrastructure and reserve systems. For example, a major crypto firm has applied for a U.S. national bank charter and is seeking a Fed master account to reduce intermediary costs and directly hold stablecoin reserves, a step observers say mirrors similar ambitions by other market participants and follows the passage of stabilising legislative frameworks. Such developments underline how the industry is trying to blend crypto‑native rails with traditional trust and prudential structures. </w:t>
      </w:r>
      <w:hyperlink r:id="rId14">
        <w:r>
          <w:rPr>
            <w:color w:val="0000EE"/>
            <w:u w:val="single"/>
          </w:rPr>
          <w:t>[2]</w:t>
        </w:r>
      </w:hyperlink>
      <w:hyperlink r:id="rId9">
        <w:r>
          <w:rPr>
            <w:color w:val="0000EE"/>
            <w:u w:val="single"/>
          </w:rPr>
          <w:t>[1]</w:t>
        </w:r>
      </w:hyperlink>
      <w:r/>
    </w:p>
    <w:p>
      <w:r/>
      <w:r>
        <w:t xml:space="preserve">Traditional financial market operators are beginning to incorporate bank‑backed stablecoins into core services. Deutsche Börse’s recent decision to add Societe Generale’s SG‑FORGE dollar‑ and euro‑backed tokens to its Clearstream settlement and custody platform illustrates this point: exchanges and custodians are experimenting with tokenised cash for post‑trade settlement and collateral management, even while the market remains dominated by a few large issuers. Market data show Tether continues to command the largest share of circulating tokens, while U.S. dollar‑pegged tokens account for the vast majority of stablecoin supply. </w:t>
      </w:r>
      <w:hyperlink r:id="rId13">
        <w:r>
          <w:rPr>
            <w:color w:val="0000EE"/>
            <w:u w:val="single"/>
          </w:rPr>
          <w:t>[3]</w:t>
        </w:r>
      </w:hyperlink>
      <w:hyperlink r:id="rId15">
        <w:r>
          <w:rPr>
            <w:color w:val="0000EE"/>
            <w:u w:val="single"/>
          </w:rPr>
          <w:t>[4]</w:t>
        </w:r>
      </w:hyperlink>
      <w:r/>
    </w:p>
    <w:p>
      <w:r/>
      <w:r>
        <w:t xml:space="preserve">Estimates of transaction volumes vary widely because of methodological differences , on‑chain gross flows, adjusted transfer values that exclude internal smart‑contract churn, and differences in how automated activity is treated all produce divergent totals. Some analytics place adjusted stablecoin transaction volume in the low tens of trillions for recent years and show extreme velocity relative to outstanding supply; other industry dashboards report several trillion dollars settled over a trailing 12‑month window after filtering automated flows. The divergence matters for how policymakers and institutions assess systemic risk and the potential of programmable money to replace or augment existing rails. </w:t>
      </w:r>
      <w:hyperlink r:id="rId11">
        <w:r>
          <w:rPr>
            <w:color w:val="0000EE"/>
            <w:u w:val="single"/>
          </w:rPr>
          <w:t>[7]</w:t>
        </w:r>
      </w:hyperlink>
      <w:hyperlink r:id="rId10">
        <w:r>
          <w:rPr>
            <w:color w:val="0000EE"/>
            <w:u w:val="single"/>
          </w:rPr>
          <w:t>[5]</w:t>
        </w:r>
      </w:hyperlink>
      <w:hyperlink r:id="rId12">
        <w:r>
          <w:rPr>
            <w:color w:val="0000EE"/>
            <w:u w:val="single"/>
          </w:rPr>
          <w:t>[6]</w:t>
        </w:r>
      </w:hyperlink>
      <w:r/>
    </w:p>
    <w:p>
      <w:r/>
      <w:r>
        <w:t xml:space="preserve">Beyond payments, tokenisation of real‑world assets (RWA) and the emergence of crypto‑native derivatives are recasting what on‑chain finance might look like. The report argues tokenisation too often remains superficial, and that synthetic instruments such as perpetual contracts may offer deeper liquidity and clearer product‑market fit for certain asset classes , particularly emerging‑market equities. It also highlights an expectation that more stablecoins will be “natively issued” on‑chain rather than merely tokenised representations of off‑chain deposits, though it cautions that stablecoins without robust credit or governance infrastructure could resemble narrow banks and face limits as a backbone for the on‑chain economy. </w:t>
      </w:r>
      <w:hyperlink r:id="rId9">
        <w:r>
          <w:rPr>
            <w:color w:val="0000EE"/>
            <w:u w:val="single"/>
          </w:rPr>
          <w:t>[1]</w:t>
        </w:r>
      </w:hyperlink>
      <w:r/>
    </w:p>
    <w:p>
      <w:r/>
      <w:r>
        <w:t xml:space="preserve">Convergence with AI and agents creates additional layers of demand and complexity. The original report describes how programmable settlement primitives and authenticated non‑human identities , what some participants call Know Your Agent (KYA) , will be required for agents to transact autonomously and securely. It forecasts primitives that allow instant, permissionless micro‑payments tied to data or compute, and warns that the identity, privacy and auditability of agent transactions will be critical for merchant and regulator trust. These technological shifts further emphasise the need for privacy‑preserving rails and composable compliance at scale. </w:t>
      </w:r>
      <w:hyperlink r:id="rId9">
        <w:r>
          <w:rPr>
            <w:color w:val="0000EE"/>
            <w:u w:val="single"/>
          </w:rPr>
          <w:t>[1]</w:t>
        </w:r>
      </w:hyperlink>
      <w:r/>
    </w:p>
    <w:p>
      <w:r/>
      <w:r>
        <w:t xml:space="preserve">Privacy, security and legal clarity are identified as the three structural constraints shaping the next phase of adoption. The report highlights privacy as a growing competitive moat , private on‑chain environments can generate stronger network effects because migration out of a privacy domain risks metadata exposure , and calls for “privacy as a service” that combines client‑side encryption, decentralized key management and verifiable data access controls. It also argues DeFi security must move from ad hoc fixes to principled, invariant‑based guardrails complemented by AI and runtime assertions, and that clearer regulatory frameworks will help shift industry incentives toward transparency and durable product design. </w:t>
      </w:r>
      <w:hyperlink r:id="rId9">
        <w:r>
          <w:rPr>
            <w:color w:val="0000EE"/>
            <w:u w:val="single"/>
          </w:rPr>
          <w:t>[1]</w:t>
        </w:r>
      </w:hyperlink>
      <w:r/>
    </w:p>
    <w:p>
      <w:r/>
      <w:r>
        <w:t xml:space="preserve">Taken together, the reporting paints a picture of an industry at an inflection point: stablecoins and tokenised assets are already disrupting payment economics and settlement design, traditional market infrastructure is tentatively adopting tokenised cash, and regulatory and technical advances are pushing the space toward deeper institutional integration. The balance between on‑chain innovation and off‑chain legal, privacy and operational constraints will determine whether stablecoins become a ubiquitous settlement layer for the internet or remain a high‑velocity adjunct to existing financial plumbing. </w:t>
      </w:r>
      <w:hyperlink r:id="rId9">
        <w:r>
          <w:rPr>
            <w:color w:val="0000EE"/>
            <w:u w:val="single"/>
          </w:rPr>
          <w:t>[1]</w:t>
        </w:r>
      </w:hyperlink>
      <w:hyperlink r:id="rId14">
        <w:r>
          <w:rPr>
            <w:color w:val="0000EE"/>
            <w:u w:val="single"/>
          </w:rPr>
          <w:t>[2]</w:t>
        </w:r>
      </w:hyperlink>
      <w:hyperlink r:id="rId13">
        <w:r>
          <w:rPr>
            <w:color w:val="0000EE"/>
            <w:u w:val="single"/>
          </w:rPr>
          <w:t>[3]</w:t>
        </w:r>
      </w:hyperlink>
      <w:hyperlink r:id="rId11">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(PANews / a16z compilation) - Paragraph 1, Paragraph 2, Paragraph 3, Paragraph 6, Paragraph 7, Paragraph 8, Paragraph 9 </w:t>
      </w:r>
      <w:r/>
    </w:p>
    <w:p>
      <w:pPr>
        <w:pStyle w:val="ListBullet"/>
        <w:spacing w:line="240" w:lineRule="auto"/>
        <w:ind w:left="720"/>
      </w:pPr>
      <w:r/>
      <w:hyperlink r:id="rId10">
        <w:r>
          <w:rPr>
            <w:color w:val="0000EE"/>
            <w:u w:val="single"/>
          </w:rPr>
          <w:t>[5]</w:t>
        </w:r>
      </w:hyperlink>
      <w:r>
        <w:t xml:space="preserve"> (CoinNews) - Paragraph 1, Paragraph 5 </w:t>
      </w:r>
      <w:r/>
    </w:p>
    <w:p>
      <w:pPr>
        <w:pStyle w:val="ListBullet"/>
        <w:spacing w:line="240" w:lineRule="auto"/>
        <w:ind w:left="720"/>
      </w:pPr>
      <w:r/>
      <w:hyperlink r:id="rId11">
        <w:r>
          <w:rPr>
            <w:color w:val="0000EE"/>
            <w:u w:val="single"/>
          </w:rPr>
          <w:t>[7]</w:t>
        </w:r>
      </w:hyperlink>
      <w:r>
        <w:t xml:space="preserve"> (Citigroup GPS Report) - Paragraph 5, Paragraph 9 </w:t>
      </w:r>
      <w:r/>
    </w:p>
    <w:p>
      <w:pPr>
        <w:pStyle w:val="ListBullet"/>
        <w:spacing w:line="240" w:lineRule="auto"/>
        <w:ind w:left="720"/>
      </w:pPr>
      <w:r/>
      <w:hyperlink r:id="rId14">
        <w:r>
          <w:rPr>
            <w:color w:val="0000EE"/>
            <w:u w:val="single"/>
          </w:rPr>
          <w:t>[2]</w:t>
        </w:r>
      </w:hyperlink>
      <w:r>
        <w:t xml:space="preserve"> (Reuters) - Paragraph 3, Paragraph 9 </w:t>
      </w:r>
      <w:r/>
    </w:p>
    <w:p>
      <w:pPr>
        <w:pStyle w:val="ListBullet"/>
        <w:spacing w:line="240" w:lineRule="auto"/>
        <w:ind w:left="720"/>
      </w:pPr>
      <w:r/>
      <w:hyperlink r:id="rId13">
        <w:r>
          <w:rPr>
            <w:color w:val="0000EE"/>
            <w:u w:val="single"/>
          </w:rPr>
          <w:t>[3]</w:t>
        </w:r>
      </w:hyperlink>
      <w:r>
        <w:t xml:space="preserve"> (Reuters) - Paragraph 4, Paragraph 9 </w:t>
      </w:r>
      <w:r/>
    </w:p>
    <w:p>
      <w:pPr>
        <w:pStyle w:val="ListBullet"/>
        <w:spacing w:line="240" w:lineRule="auto"/>
        <w:ind w:left="720"/>
      </w:pPr>
      <w:r/>
      <w:hyperlink r:id="rId15">
        <w:r>
          <w:rPr>
            <w:color w:val="0000EE"/>
            <w:u w:val="single"/>
          </w:rPr>
          <w:t>[4]</w:t>
        </w:r>
      </w:hyperlink>
      <w:r>
        <w:t xml:space="preserve"> (The Motley Fool summary) - Paragraph 4 </w:t>
      </w:r>
      <w:r/>
    </w:p>
    <w:p>
      <w:pPr>
        <w:pStyle w:val="ListBullet"/>
        <w:spacing w:line="240" w:lineRule="auto"/>
        <w:ind w:left="720"/>
      </w:pPr>
      <w:r/>
      <w:hyperlink r:id="rId12">
        <w:r>
          <w:rPr>
            <w:color w:val="0000EE"/>
            <w:u w:val="single"/>
          </w:rPr>
          <w:t>[6]</w:t>
        </w:r>
      </w:hyperlink>
      <w:r>
        <w:t xml:space="preserve"> (Forbes / industry analysis) - Paragraph 2,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https://www.panewslab.com/en/articles/b803be9d-d47e-4a76-b13d-b3f9f4f1c737</w:t>
        </w:r>
      </w:hyperlink>
      <w:r>
        <w:t xml:space="preserve"> - Please view link - unable to able to access data</w:t>
      </w:r>
      <w:r/>
    </w:p>
    <w:p>
      <w:pPr>
        <w:pStyle w:val="ListNumber"/>
        <w:spacing w:line="240" w:lineRule="auto"/>
        <w:ind w:left="720"/>
      </w:pPr>
      <w:r/>
      <w:hyperlink r:id="rId14">
        <w:r>
          <w:rPr>
            <w:color w:val="0000EE"/>
            <w:u w:val="single"/>
          </w:rPr>
          <w:t>https://www.reuters.com/business/finance/ripple-applies-us-national-bank-charter-crypto-eyes-next-frontier-2025-07-02/</w:t>
        </w:r>
      </w:hyperlink>
      <w:r>
        <w:t xml:space="preserve"> - Ripple has applied for a U.S. national bank charter, aiming to integrate more fully with the traditional financial system and seek regulatory clarity. This move follows a similar step by stablecoin issuer Circle and suggests increasing momentum within the industry for legitimacy and operational efficiency. By gaining a national bank charter, Ripple aims to settle payments faster, reduce costs by bypassing intermediary banks, and potentially gain legitimacy amid long-standing regulatory challenges. The application is currently under review by the Office of the Comptroller of the Currency (OCC). Ripple is also pursuing a Federal Reserve Master account, which would allow it to utilize Fed payment infrastructure and directly hold reserves for its stablecoin, RLUSD. Launched in October of the previous year, RLUSD has a market value of approximately $470 million. This development comes on the heels of Circle announcing its intent to establish a national trust bank and follows the U.S. Senate’s passage of the GENIUS Act, which is expected to support stablecoin adoption through clearer regulatory frameworks.</w:t>
      </w:r>
      <w:r/>
    </w:p>
    <w:p>
      <w:pPr>
        <w:pStyle w:val="ListNumber"/>
        <w:spacing w:line="240" w:lineRule="auto"/>
        <w:ind w:left="720"/>
      </w:pPr>
      <w:r/>
      <w:hyperlink r:id="rId13">
        <w:r>
          <w:rPr>
            <w:color w:val="0000EE"/>
            <w:u w:val="single"/>
          </w:rPr>
          <w:t>https://www.reuters.com/business/finance/deutsche-boerse-add-socgens-stablecoins-its-settlement-business-2025-11-18/</w:t>
        </w:r>
      </w:hyperlink>
      <w:r>
        <w:t xml:space="preserve"> - Deutsche Boerse, Germany's stock exchange operator, is set to integrate Societe Generale's (SocGen) stablecoins into its settlement business, marking a significant endeavor to increase adoption of these blockchain-based assets. Created by SG-FORGE, SocGen's crypto division, the stablecoins are backed by the U.S. dollar and the euro, though they have seen limited use so far. The tokens will be incorporated into Deutsche Boerse’s Clearstream platform, enhancing custody services and potentially being used for trade settlements and collateral management in the future. This development represents the first mainstream financial platform integration for SG-FORGE's stablecoins. Jean-Marc Stenger, CEO of SG-FORGE, emphasized that stablecoins provide a faster and cheaper method for transferring money, and the collaboration seeks to deliver the efficiencies of the crypto world to traditional finance. Currently, SG-FORGE has $29.6 million in dollar-backed tokens and €65.2 million ($75.6 million) in euro-backed tokens in circulation. Despite this progress, the stablecoin market remains dominated by Tether, with $184 billion in tokens issued.</w:t>
      </w:r>
      <w:r/>
    </w:p>
    <w:p>
      <w:pPr>
        <w:pStyle w:val="ListNumber"/>
        <w:spacing w:line="240" w:lineRule="auto"/>
        <w:ind w:left="720"/>
      </w:pPr>
      <w:r/>
      <w:hyperlink r:id="rId15">
        <w:r>
          <w:rPr>
            <w:color w:val="0000EE"/>
            <w:u w:val="single"/>
          </w:rPr>
          <w:t>https://www.fool.com/research/largest-stablecoins/</w:t>
        </w:r>
      </w:hyperlink>
      <w:r>
        <w:t xml:space="preserve"> - Tether (USDT) is the most widely used stablecoin, accounting for over 70% of stablecoin-related transactions between 2023 and 2025. USDC trails behind, surpassing 30% market share only once, in March 2024. However, in countries such as India and Argentina, USDC is as widely used as USDT, and it sees strong adoption in the U.S., Mexico, Nigeria, Uganda, and Kenya. According to the study, 99% of stablecoins are pegged to the U.S. dollar and backed by U.S. dollar-denominated instruments. If they were considered a nation, stablecoins would be the 14th largest holder of sovereign U.S. debt, the report states. It also quotes U.S. Treasury Secretary Scott Bessent, who underscored the importance of stablecoins in reinforcing the dollar’s global reserve currency status.</w:t>
      </w:r>
      <w:r/>
    </w:p>
    <w:p>
      <w:pPr>
        <w:pStyle w:val="ListNumber"/>
        <w:spacing w:line="240" w:lineRule="auto"/>
        <w:ind w:left="720"/>
      </w:pPr>
      <w:r/>
      <w:hyperlink r:id="rId10">
        <w:r>
          <w:rPr>
            <w:color w:val="0000EE"/>
            <w:u w:val="single"/>
          </w:rPr>
          <w:t>https://coinnews.com/news/cryptocurrency/stablecoin-transactions-surpass-visa-and-mastercard-a-shift-in-digital-payments/</w:t>
        </w:r>
      </w:hyperlink>
      <w:r>
        <w:t xml:space="preserve"> - In 2024, stablecoins processed $27.6 trillion in transactions, surpassing traditional payments like Visa and Mastercard. This was 7.68% higher than the combined transaction volume of the two largest traditional payment providers. Even though the crypto market slowed down in the third quarter, stablecoins remained strong. Their supply grew by 59%, reaching over $200 billion. This means stablecoins now represent 1% of the total US dollar supply, up from 0.63% at the beginning of the year. As more people and businesses turn to digital assets, stablecoins continue to play a crucial role in global payments and decentralized finance (DeFi).</w:t>
      </w:r>
      <w:r/>
    </w:p>
    <w:p>
      <w:pPr>
        <w:pStyle w:val="ListNumber"/>
        <w:spacing w:line="240" w:lineRule="auto"/>
        <w:ind w:left="720"/>
      </w:pPr>
      <w:r/>
      <w:hyperlink r:id="rId12">
        <w:r>
          <w:rPr>
            <w:color w:val="0000EE"/>
            <w:u w:val="single"/>
          </w:rPr>
          <w:t>https://www.forbes.com/councils/forbesfinancecouncil/2025/04/30/how-stablecoins-blockchain-based-payment-networks-could-reshape-global-finance/</w:t>
        </w:r>
      </w:hyperlink>
      <w:r>
        <w:t xml:space="preserve"> - According to Visa’s stablecoin dashboard, even after adjusting for automated transactions, stablecoins settled over $6.5 trillion in the past 12 months. Initially serving as a bridge for crypto assets, stablecoins have evolved and are integrating into everyday transactions beyond the crypto market. Traditional financial institutions and regulators are rapidly adopting blockchain technology. The Bank for International Settlements (BIS) is exploring the idea of a “Finternet,” the Monetary Authority of Singapore (MAS) has announced Global Layer One and Deutsche Bank is working on Layer 2 solutions. Asset management giants including BlackRock and Franklin Templeton are also experimenting with public blockchains. Stablecoins make value transfer seamless, enabling real-time global transactions at lower costs than traditional banking rails.</w:t>
      </w:r>
      <w:r/>
    </w:p>
    <w:p>
      <w:pPr>
        <w:pStyle w:val="ListNumber"/>
        <w:spacing w:line="240" w:lineRule="auto"/>
        <w:ind w:left="720"/>
      </w:pPr>
      <w:r/>
      <w:hyperlink r:id="rId11">
        <w:r>
          <w:rPr>
            <w:color w:val="0000EE"/>
            <w:u w:val="single"/>
          </w:rPr>
          <w:t>https://www.citigroup.com/rcs/citigpa/storage/public/GPS_Report_Stablecoins_2030.pdf</w:t>
        </w:r>
      </w:hyperlink>
      <w:r>
        <w:t xml:space="preserve"> - Estimates of current stablecoin transaction and transfer volumes differ materially across analytics providers. Some report only on exchange volumes while others track total on-chain transfer value, with further nuance around adjusted/organic volumes that filter out automated smart-contract activity, internal transfers and wash/bot trading. Data from Artemis Analytics, based on on-chain analysis, estimates adjusted stablecoin transaction volume of $7.6 trillion in 2023 and $18.4 trillion in 2024 (+140% YoY). Historically, stablecoins were used mainly for crypto trading related activity. Based on average annual outstanding stablecoin supply and Artemis Analytics adjusted transaction volumes, stablecoin velocity stands at 60x in 2023 and 113x in 2024. As corporates, financial and asset managers adopt programmable money, stablecoins will be used for financial and commercial transactions. Future velocity ratios are hard to forecast, but figure 9 on page 25 provides a scenario analysis we consider reasonable.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newslab.com/en/articles/b803be9d-d47e-4a76-b13d-b3f9f4f1c737" TargetMode="External"/><Relationship Id="rId10" Type="http://schemas.openxmlformats.org/officeDocument/2006/relationships/hyperlink" Target="https://coinnews.com/news/cryptocurrency/stablecoin-transactions-surpass-visa-and-mastercard-a-shift-in-digital-payments/" TargetMode="External"/><Relationship Id="rId11" Type="http://schemas.openxmlformats.org/officeDocument/2006/relationships/hyperlink" Target="https://www.citigroup.com/rcs/citigpa/storage/public/GPS_Report_Stablecoins_2030.pdf" TargetMode="External"/><Relationship Id="rId12" Type="http://schemas.openxmlformats.org/officeDocument/2006/relationships/hyperlink" Target="https://www.forbes.com/councils/forbesfinancecouncil/2025/04/30/how-stablecoins-blockchain-based-payment-networks-could-reshape-global-finance/" TargetMode="External"/><Relationship Id="rId13" Type="http://schemas.openxmlformats.org/officeDocument/2006/relationships/hyperlink" Target="https://www.reuters.com/business/finance/deutsche-boerse-add-socgens-stablecoins-its-settlement-business-2025-11-18/" TargetMode="External"/><Relationship Id="rId14" Type="http://schemas.openxmlformats.org/officeDocument/2006/relationships/hyperlink" Target="https://www.reuters.com/business/finance/ripple-applies-us-national-bank-charter-crypto-eyes-next-frontier-2025-07-02/" TargetMode="External"/><Relationship Id="rId15" Type="http://schemas.openxmlformats.org/officeDocument/2006/relationships/hyperlink" Target="https://www.fool.com/research/largest-stablecoi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