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Alternatives to Fireblocks diversify the digital-asset custody and settlement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Fireblocks’ position as a dominant institutional platform for secure digital-asset transfer and custody has spawned a competitive ecosystem of providers that emphasise alternative trade-offs between security architecture, regulatory posture, developer-first integration and payments rails. According to the original report, enterprises, developers and retail users now have a broad set of options beyond Fireblocks that deliver institutional custody, decentralised custody models, compliance tooling and specialised payment infrastructure.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At the institutional custody end, BitGo is presented as a direct competitor that leans heavily into multi-signature security, regulation and insurance. Industry data shows BitGo claims substantial assets under custody, global compliance credentials and insurance coverage, making it a familiar choice for firms prioritising regulated custody and conventional trust frameworks. The company’s combination of hot and cold storage options and a compliance-first approach is framed as comforting for large institutional treasuries. </w:t>
      </w:r>
      <w:hyperlink r:id="rId9">
        <w:r>
          <w:rPr>
            <w:color w:val="0000EE"/>
            <w:u w:val="single"/>
          </w:rPr>
          <w:t>[1]</w:t>
        </w:r>
      </w:hyperlink>
      <w:hyperlink r:id="rId10">
        <w:r>
          <w:rPr>
            <w:color w:val="0000EE"/>
            <w:u w:val="single"/>
          </w:rPr>
          <w:t>[2]</w:t>
        </w:r>
      </w:hyperlink>
      <w:r/>
    </w:p>
    <w:p>
      <w:r/>
      <w:r>
        <w:t xml:space="preserve">Anchorage Digital occupies another regulatory-forward position by combining custody services with a federally chartered banking model. According to the summaries, Anchorage’s appeal for institutions rests on delivering custody alongside regulated services such as trading and staking under an approved charter, giving clients a single-provider option that integrates operational services with custody oversight. </w:t>
      </w:r>
      <w:hyperlink r:id="rId9">
        <w:r>
          <w:rPr>
            <w:color w:val="0000EE"/>
            <w:u w:val="single"/>
          </w:rPr>
          <w:t>[1]</w:t>
        </w:r>
      </w:hyperlink>
      <w:r/>
    </w:p>
    <w:p>
      <w:r/>
      <w:r>
        <w:t xml:space="preserve">A different security model is offered by MPC-based providers that remove single points of failure without relying on classic seed-phrase custody. Zengo is cited for its keyless, MPC architecture which splits key material between the user’s device and remote components; the company states its cryptography has been battle-tested since 2018 and that it publishes audits and open-source libraries. Dfns similarly targets developers and fintechs with an API-first platform built on MPC and decentralised custody primitives to ease integration and reduce attack surface for embedded asset services. These MPC approaches are described as delivering enterprise-grade security while enabling more flexible integration patterns than monolithic custody stacks. </w:t>
      </w:r>
      <w:hyperlink r:id="rId9">
        <w:r>
          <w:rPr>
            <w:color w:val="0000EE"/>
            <w:u w:val="single"/>
          </w:rPr>
          <w:t>[1]</w:t>
        </w:r>
      </w:hyperlink>
      <w:hyperlink r:id="rId15">
        <w:r>
          <w:rPr>
            <w:color w:val="0000EE"/>
            <w:u w:val="single"/>
          </w:rPr>
          <w:t>[3]</w:t>
        </w:r>
      </w:hyperlink>
      <w:hyperlink r:id="rId11">
        <w:r>
          <w:rPr>
            <w:color w:val="0000EE"/>
            <w:u w:val="single"/>
          </w:rPr>
          <w:t>[4]</w:t>
        </w:r>
      </w:hyperlink>
      <w:r/>
    </w:p>
    <w:p>
      <w:r/>
      <w:r>
        <w:t xml:space="preserve">Self-custody and ecosystem convenience form another alternative track. Coinbase Wallet is highlighted as a retail- and developer-friendly option that preserves user control of private keys while offering wide token and dApp support and seamless links to an exchange ecosystem. According to the source material, it is positioned for users and builders who want custody sovereignty combined with accessibility to decentralised applications. </w:t>
      </w:r>
      <w:hyperlink r:id="rId9">
        <w:r>
          <w:rPr>
            <w:color w:val="0000EE"/>
            <w:u w:val="single"/>
          </w:rPr>
          <w:t>[1]</w:t>
        </w:r>
      </w:hyperlink>
      <w:hyperlink r:id="rId12">
        <w:r>
          <w:rPr>
            <w:color w:val="0000EE"/>
            <w:u w:val="single"/>
          </w:rPr>
          <w:t>[5]</w:t>
        </w:r>
      </w:hyperlink>
      <w:r/>
    </w:p>
    <w:p>
      <w:r/>
      <w:r>
        <w:t xml:space="preserve">Compliance tooling is called out as a functional alternative to custody platforms. Chainalysis’ Know Your Transaction (KYT) product is presented not as a custody provider but as a risk-mitigation layer institutions can embed into operations; real-time transaction monitoring and AML-focused analytics are described as essential complements to custody solutions for firms that must maintain regulatory controls across on-chain flows. </w:t>
      </w:r>
      <w:hyperlink r:id="rId9">
        <w:r>
          <w:rPr>
            <w:color w:val="0000EE"/>
            <w:u w:val="single"/>
          </w:rPr>
          <w:t>[1]</w:t>
        </w:r>
      </w:hyperlink>
      <w:hyperlink r:id="rId13">
        <w:r>
          <w:rPr>
            <w:color w:val="0000EE"/>
            <w:u w:val="single"/>
          </w:rPr>
          <w:t>[6]</w:t>
        </w:r>
      </w:hyperlink>
      <w:r/>
    </w:p>
    <w:p>
      <w:r/>
      <w:r>
        <w:t xml:space="preserve">Beyond custody- and compliance-focused entrants, several blockchain networks and infrastructure projects are offered as structural alternatives when the core need is payments, tokenisation or programmable asset workflows rather than pure custody. Ripple and Stellar are characterised as networks optimised for fast, low-cost cross-border settlement and token issuance, appealing to firms building payments and liquidity products. Ethereum and Blockstream are noted for programmability and Bitcoin-focused settlement respectively: Ethereum for smart contracts and DeFi composability that enable decentralised custody and bespoke asset workflows; Blockstream for Liquid sidechain infrastructure that accelerates confidential Bitcoin settlement for institutions. These networks are framed as giving enterprises the option to build bespoke custody or settlement primitives on-chain rather than relying on a single custodial vendor. </w:t>
      </w:r>
      <w:hyperlink r:id="rId9">
        <w:r>
          <w:rPr>
            <w:color w:val="0000EE"/>
            <w:u w:val="single"/>
          </w:rPr>
          <w:t>[1]</w:t>
        </w:r>
      </w:hyperlink>
      <w:hyperlink r:id="rId14">
        <w:r>
          <w:rPr>
            <w:color w:val="0000EE"/>
            <w:u w:val="single"/>
          </w:rPr>
          <w:t>[7]</w:t>
        </w:r>
      </w:hyperlink>
      <w:r/>
    </w:p>
    <w:p>
      <w:r/>
      <w:r>
        <w:t xml:space="preserve">Across the set of alternatives the original analysis emphasises recurring trade-offs: custody providers focus on regulated assurances, insurance and operational services; MPC and API-first platforms prioritise decentralisation of key material and developer ergonomics; compliance vendors supply transaction monitoring; and payments-focused networks trade custody for fast settlement and tokenisation capabilities. The net effect, according to the report, is an ecosystem in which organisations can assemble multilayered solutions that match their risk, regulatory and product needs rather than adopting a one-size-fits-all platform. </w:t>
      </w:r>
      <w:hyperlink r:id="rId9">
        <w:r>
          <w:rPr>
            <w:color w:val="0000EE"/>
            <w:u w:val="single"/>
          </w:rPr>
          <w:t>[1]</w:t>
        </w:r>
      </w:hyperlink>
      <w:hyperlink r:id="rId10">
        <w:r>
          <w:rPr>
            <w:color w:val="0000EE"/>
            <w:u w:val="single"/>
          </w:rPr>
          <w:t>[2]</w:t>
        </w:r>
      </w:hyperlink>
      <w:hyperlink r:id="rId15">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For decision-makers, the practical implication is that Fireblocks’ competitors are not single drop-in replacements but alternative components: some will substitute for custody entirely, others augment custody with compliance, and some encourage re-architecting settlement using public or permissioned ledgers. The original report concludes that BitGo, Zengo, Dfns, Coinbase Wallet, Chainalysis KYT, Ripple, Ethereum, Stellar, Blockstream and Anchorage Digital each bring distinct strengths, security models, regulatory posture, programmability or payments rails, that organisations should weigh against their operational, legal and product requirements.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(CoinWorldStory) - Paragraph 1, Paragraph 2, Paragraph 4, Paragraph 5, Paragraph 6, Paragraph 7, Paragraph 8, Paragraph 9 </w:t>
      </w:r>
      <w:r/>
    </w:p>
    <w:p>
      <w:pPr>
        <w:pStyle w:val="ListBullet"/>
        <w:spacing w:line="240" w:lineRule="auto"/>
        <w:ind w:left="720"/>
      </w:pPr>
      <w:r/>
      <w:hyperlink r:id="rId10">
        <w:r>
          <w:rPr>
            <w:color w:val="0000EE"/>
            <w:u w:val="single"/>
          </w:rPr>
          <w:t>[2]</w:t>
        </w:r>
      </w:hyperlink>
      <w:r>
        <w:t xml:space="preserve"> (BitGo) - Paragraph 2, Paragraph 8 </w:t>
      </w:r>
      <w:r/>
    </w:p>
    <w:p>
      <w:pPr>
        <w:pStyle w:val="ListBullet"/>
        <w:spacing w:line="240" w:lineRule="auto"/>
        <w:ind w:left="720"/>
      </w:pPr>
      <w:r/>
      <w:hyperlink r:id="rId15">
        <w:r>
          <w:rPr>
            <w:color w:val="0000EE"/>
            <w:u w:val="single"/>
          </w:rPr>
          <w:t>[3]</w:t>
        </w:r>
      </w:hyperlink>
      <w:r>
        <w:t xml:space="preserve"> (Zengo) - Paragraph 4, Paragraph 8 </w:t>
      </w:r>
      <w:r/>
    </w:p>
    <w:p>
      <w:pPr>
        <w:pStyle w:val="ListBullet"/>
        <w:spacing w:line="240" w:lineRule="auto"/>
        <w:ind w:left="720"/>
      </w:pPr>
      <w:r/>
      <w:hyperlink r:id="rId11">
        <w:r>
          <w:rPr>
            <w:color w:val="0000EE"/>
            <w:u w:val="single"/>
          </w:rPr>
          <w:t>[4]</w:t>
        </w:r>
      </w:hyperlink>
      <w:r>
        <w:t xml:space="preserve"> (Dfns) - Paragraph 4, Paragraph 8 </w:t>
      </w:r>
      <w:r/>
    </w:p>
    <w:p>
      <w:pPr>
        <w:pStyle w:val="ListBullet"/>
        <w:spacing w:line="240" w:lineRule="auto"/>
        <w:ind w:left="720"/>
      </w:pPr>
      <w:r/>
      <w:hyperlink r:id="rId12">
        <w:r>
          <w:rPr>
            <w:color w:val="0000EE"/>
            <w:u w:val="single"/>
          </w:rPr>
          <w:t>[5]</w:t>
        </w:r>
      </w:hyperlink>
      <w:r>
        <w:t xml:space="preserve"> (Coinbase) - Paragraph 5, Paragraph 8 </w:t>
      </w:r>
      <w:r/>
    </w:p>
    <w:p>
      <w:pPr>
        <w:pStyle w:val="ListBullet"/>
        <w:spacing w:line="240" w:lineRule="auto"/>
        <w:ind w:left="720"/>
      </w:pPr>
      <w:r/>
      <w:hyperlink r:id="rId13">
        <w:r>
          <w:rPr>
            <w:color w:val="0000EE"/>
            <w:u w:val="single"/>
          </w:rPr>
          <w:t>[6]</w:t>
        </w:r>
      </w:hyperlink>
      <w:r>
        <w:t xml:space="preserve"> (Chainalysis) - Paragraph 6, Paragraph 8 </w:t>
      </w:r>
      <w:r/>
    </w:p>
    <w:p>
      <w:pPr>
        <w:pStyle w:val="ListBullet"/>
        <w:spacing w:line="240" w:lineRule="auto"/>
        <w:ind w:left="720"/>
      </w:pPr>
      <w:r/>
      <w:hyperlink r:id="rId14">
        <w:r>
          <w:rPr>
            <w:color w:val="0000EE"/>
            <w:u w:val="single"/>
          </w:rPr>
          <w:t>[7]</w:t>
        </w:r>
      </w:hyperlink>
      <w:r>
        <w:t xml:space="preserve"> (Ripple) - Paragraph 7,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https://coinworldstory.com/best-fireblocks-alternatives/</w:t>
        </w:r>
      </w:hyperlink>
      <w:r>
        <w:t xml:space="preserve"> - Please view link - unable to able to access data</w:t>
      </w:r>
      <w:r/>
    </w:p>
    <w:p>
      <w:pPr>
        <w:pStyle w:val="ListNumber"/>
        <w:spacing w:line="240" w:lineRule="auto"/>
        <w:ind w:left="720"/>
      </w:pPr>
      <w:r/>
      <w:hyperlink r:id="rId10">
        <w:r>
          <w:rPr>
            <w:color w:val="0000EE"/>
            <w:u w:val="single"/>
          </w:rPr>
          <w:t>https://www.bitgo.com/</w:t>
        </w:r>
      </w:hyperlink>
      <w:r>
        <w:t xml:space="preserve"> - BitGo is a leading digital asset custody provider offering institutional-grade security solutions. Their multi-signature wallets and industry-leading security protocols ensure that assets are protected 24/7. BitGo is compliant with global regulations, including Dubai VARA Standards, providing clients with peace of mind in every transaction. The company safeguards $90 billion in digital assets and supports over 1,400 assets, with up to $250 million in insurance coverage. BitGo's services are designed to meet all local and regulatory requirements, making it a trusted partner for institutions worldwide.</w:t>
      </w:r>
      <w:r/>
    </w:p>
    <w:p>
      <w:pPr>
        <w:pStyle w:val="ListNumber"/>
        <w:spacing w:line="240" w:lineRule="auto"/>
        <w:ind w:left="720"/>
      </w:pPr>
      <w:r/>
      <w:hyperlink r:id="rId15">
        <w:r>
          <w:rPr>
            <w:color w:val="0000EE"/>
            <w:u w:val="single"/>
          </w:rPr>
          <w:t>https://zengo.com/security/</w:t>
        </w:r>
      </w:hyperlink>
      <w:r>
        <w:t xml:space="preserve"> - Zengo is a crypto wallet that leverages Multi-Party Computation (MPC) technology to enhance security. Unlike traditional wallets that rely on seed phrases, Zengo uses MPC to split the private key into two parts: one stored on the user's mobile device and the other on Zengo's servers. This approach eliminates the single point of failure and protects against key theft or loss. Zengo's security model has been battle-tested since 2018, with zero wallets hacked or stolen. The company maintains an open-source cryptography library and conducts annual audits to ensure the highest security standards.</w:t>
      </w:r>
      <w:r/>
    </w:p>
    <w:p>
      <w:pPr>
        <w:pStyle w:val="ListNumber"/>
        <w:spacing w:line="240" w:lineRule="auto"/>
        <w:ind w:left="720"/>
      </w:pPr>
      <w:r/>
      <w:hyperlink r:id="rId11">
        <w:r>
          <w:rPr>
            <w:color w:val="0000EE"/>
            <w:u w:val="single"/>
          </w:rPr>
          <w:t>https://www.dfns.io/</w:t>
        </w:r>
      </w:hyperlink>
      <w:r>
        <w:t xml:space="preserve"> - Dfns is an API-first custody platform tailored for developers and fintech companies. It offers decentralized custody through Multi-Party Computation (MPC), removing single points of failure and enhancing attack resistance. Dfns provides seamless integration into other applications while ensuring top-tier security. Its flexible architecture allows for scalable integration, making it a unique competitor in the digital asset management space.</w:t>
      </w:r>
      <w:r/>
    </w:p>
    <w:p>
      <w:pPr>
        <w:pStyle w:val="ListNumber"/>
        <w:spacing w:line="240" w:lineRule="auto"/>
        <w:ind w:left="720"/>
      </w:pPr>
      <w:r/>
      <w:hyperlink r:id="rId12">
        <w:r>
          <w:rPr>
            <w:color w:val="0000EE"/>
            <w:u w:val="single"/>
          </w:rPr>
          <w:t>https://www.coinbase.com/wallet</w:t>
        </w:r>
      </w:hyperlink>
      <w:r>
        <w:t xml:space="preserve"> - Coinbase Wallet is a self-custody wallet that allows users to control their own private keys. It supports a wide range of tokens and decentralized applications (dApps), providing a versatile option for developers and investors. The wallet integrates seamlessly with the Coinbase exchange services, offering a user-friendly interface while maintaining a high level of security. Coinbase Wallet is designed to be accessible for everyday users while providing the benefits of self-custody.</w:t>
      </w:r>
      <w:r/>
    </w:p>
    <w:p>
      <w:pPr>
        <w:pStyle w:val="ListNumber"/>
        <w:spacing w:line="240" w:lineRule="auto"/>
        <w:ind w:left="720"/>
      </w:pPr>
      <w:r/>
      <w:hyperlink r:id="rId13">
        <w:r>
          <w:rPr>
            <w:color w:val="0000EE"/>
            <w:u w:val="single"/>
          </w:rPr>
          <w:t>https://www.chainalysis.com/products/know-your-transaction/</w:t>
        </w:r>
      </w:hyperlink>
      <w:r>
        <w:t xml:space="preserve"> - Chainalysis Know Your Transaction (KYT) is a compliance monitoring tool for blockchain transactions. It specializes in real-time monitoring, continuously analyzing blockchain transactions to identify suspicious activities and mitigate risks promptly. Chainalysis KYT empowers organizations to embed compliance into their operations, helping to prevent fraud and meet Anti-Money Laundering (AML) regulations. Its integration-ready design allows for seamless incorporation into institutional workflows, making it a powerful tool for businesses dealing with digital assets.</w:t>
      </w:r>
      <w:r/>
    </w:p>
    <w:p>
      <w:pPr>
        <w:pStyle w:val="ListNumber"/>
        <w:spacing w:line="240" w:lineRule="auto"/>
        <w:ind w:left="720"/>
      </w:pPr>
      <w:r/>
      <w:hyperlink r:id="rId14">
        <w:r>
          <w:rPr>
            <w:color w:val="0000EE"/>
            <w:u w:val="single"/>
          </w:rPr>
          <w:t>https://ripple.com/</w:t>
        </w:r>
      </w:hyperlink>
      <w:r>
        <w:t xml:space="preserve"> - Ripple is a cross-border payments solution that utilizes enterprise blockchain infrastructure. Its XRP Ledger enables fast, low-cost settlements, making it ideal for global financial institutions. Ripple offers on-demand liquidity for transfers and works with banks and regulators worldwide to ensure compliance. The platform's focus on speed and efficiency sets it apart from traditional custody platforms, providing a unique alternative for businesses involved in international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worldstory.com/best-fireblocks-alternatives/" TargetMode="External"/><Relationship Id="rId10" Type="http://schemas.openxmlformats.org/officeDocument/2006/relationships/hyperlink" Target="https://www.bitgo.com/" TargetMode="External"/><Relationship Id="rId11" Type="http://schemas.openxmlformats.org/officeDocument/2006/relationships/hyperlink" Target="https://www.dfns.io/" TargetMode="External"/><Relationship Id="rId12" Type="http://schemas.openxmlformats.org/officeDocument/2006/relationships/hyperlink" Target="https://www.coinbase.com/wallet" TargetMode="External"/><Relationship Id="rId13" Type="http://schemas.openxmlformats.org/officeDocument/2006/relationships/hyperlink" Target="https://www.chainalysis.com/products/know-your-transaction/" TargetMode="External"/><Relationship Id="rId14" Type="http://schemas.openxmlformats.org/officeDocument/2006/relationships/hyperlink" Target="https://ripple.com/" TargetMode="External"/><Relationship Id="rId15" Type="http://schemas.openxmlformats.org/officeDocument/2006/relationships/hyperlink" Target="https://zengo.com/secur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