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Meta-optimized approach enhances microgrid resilience for mission-critical agriculture systems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failure that launched this research , a reinforcement learning controller that clung to outdated policies after a sudden power fluctuation at a hydroponic site , exposes a blind spot in many smart‑agriculture energy systems: mission‑critical recovery windows in which brief, correctly timed decisions determine crop survival. Building on that experience, the author develops Meta‑Optimized Continual Adaptation (MOCA), an architectural and algorithmic approach designed to detect those recovery windows and reconfigure control policies within seconds rather than hours, prioritising crop outcomes and system resilience over routine efficiency during disruption periods. </w:t>
      </w:r>
      <w:hyperlink r:id="rId9">
        <w:r>
          <w:rPr>
            <w:color w:val="0000EE"/>
            <w:u w:val="single"/>
          </w:rPr>
          <w:t>[1]</w:t>
        </w:r>
      </w:hyperlink>
      <w:r/>
    </w:p>
    <w:p>
      <w:r/>
      <w:r>
        <w:t xml:space="preserve">MOCA’s premise is simple but consequential: conventional continual learning is tuned to retain long‑run performance and avoid catastrophic forgetting, whereas MOCA explicitly trains for rapid, short‑horizon adaptation when time sensitivity is highest. The framework described combines meta‑learning for fast adaptation, temporal attention to focus compute on critical moments, multi‑objective reward shaping that dynamically reprioritises crop health and resilience during recovery windows, and quantum‑inspired optimisation to meet real‑time constraints on edge hardware. According to the original report, this combination is intended to close the gap between laboratory models and the messy, time‑sensitive realities of farm microgrids. </w:t>
      </w:r>
      <w:hyperlink r:id="rId9">
        <w:r>
          <w:rPr>
            <w:color w:val="0000EE"/>
            <w:u w:val="single"/>
          </w:rPr>
          <w:t>[1]</w:t>
        </w:r>
      </w:hyperlink>
      <w:r/>
    </w:p>
    <w:p>
      <w:r/>
      <w:r>
        <w:t xml:space="preserve">At the system level MOCA is realised as a multi‑agent orchestrator: specialised agents handle energy allocation, crop physiology modelling and market interactions, while a Window‑Aware Meta‑Learner (WAML) trains the base model to adapt within a handful of gradient steps during simulated recovery scenarios. A Critical Window Detector flags anomalies and crop vulnerability so the controller escalates to recovery protocols. The author emphasises practical engineering choices , selective memory buffers to retain rare recovery experiences, hierarchical optimisation with cached policy fragments for low‑latency fallbacks, and safety‑first execution loops for actuators , all aimed at operational reliability in rural deployments. </w:t>
      </w:r>
      <w:hyperlink r:id="rId9">
        <w:r>
          <w:rPr>
            <w:color w:val="0000EE"/>
            <w:u w:val="single"/>
          </w:rPr>
          <w:t>[1]</w:t>
        </w:r>
      </w:hyperlink>
      <w:r/>
    </w:p>
    <w:p>
      <w:r/>
      <w:r>
        <w:t xml:space="preserve">The optimisation layer blends several contemporary approaches. Quantum‑inspired QUBO formulations solved via simulated annealing are used as a pragmatic bridge where full quantum hardware is unavailable, yielding faster near‑optimal solutions for scheduling and resource allocation under tight time budgets. The author positions this alongside metaheuristic and distributed optimisation techniques documented in the literature, noting that these classes of algorithms have demonstrated effectiveness in both small‑ and large‑scale microgrid problems. Industry and academic work cited alongside the MOCA design supports the value of advanced optimisers in improving reliability and cost outcomes for distributed energy systems. </w:t>
      </w:r>
      <w:hyperlink r:id="rId9">
        <w:r>
          <w:rPr>
            <w:color w:val="0000EE"/>
            <w:u w:val="single"/>
          </w:rPr>
          <w:t>[1]</w:t>
        </w:r>
      </w:hyperlink>
      <w:hyperlink r:id="rId10">
        <w:r>
          <w:rPr>
            <w:color w:val="0000EE"/>
            <w:u w:val="single"/>
          </w:rPr>
          <w:t>[5]</w:t>
        </w:r>
      </w:hyperlink>
      <w:r/>
    </w:p>
    <w:p>
      <w:r/>
      <w:r>
        <w:t xml:space="preserve">MOCA’s multi‑objective reward design also reflects recent advances in microgrid control research. The framework weights energy efficiency, predicted yield value, economic cost and resilience, and adapts those weights upward for crop and resilience metrics during detected recovery windows. This dynamic rebalancing is consistent with priority‑based cost optimisation strategies used in hybrid PV‑wind microgrids and multi‑objective AC microgrid studies, which show improved performance when controllers explicitly internalise trade‑offs between operating cost, emissions, storage degradation and service continuity. </w:t>
      </w:r>
      <w:hyperlink r:id="rId9">
        <w:r>
          <w:rPr>
            <w:color w:val="0000EE"/>
            <w:u w:val="single"/>
          </w:rPr>
          <w:t>[1]</w:t>
        </w:r>
      </w:hyperlink>
      <w:hyperlink r:id="rId11">
        <w:r>
          <w:rPr>
            <w:color w:val="0000EE"/>
            <w:u w:val="single"/>
          </w:rPr>
          <w:t>[6]</w:t>
        </w:r>
      </w:hyperlink>
      <w:hyperlink r:id="rId12">
        <w:r>
          <w:rPr>
            <w:color w:val="0000EE"/>
            <w:u w:val="single"/>
          </w:rPr>
          <w:t>[4]</w:t>
        </w:r>
      </w:hyperlink>
      <w:r/>
    </w:p>
    <w:p>
      <w:r/>
      <w:r>
        <w:t xml:space="preserve">The case for hardened, mission‑oriented microgrids is not limited to agriculture. A recent industry report highlights growing adoption of microgrids by mission‑critical enterprises , military bases, hospitals and data centres , to mitigate the operational and safety risks of power disturbances. That trend reinforces the rationale for MOCA’s focus on reliability: systems that must remain operational through outages benefit from control strategies that prioritise continuity and rapid recovery. Academic studies into critical microgrid operation further underline the importance of preventive security measures and validated real‑world testing when designing controllers for mission‑critical contexts. </w:t>
      </w:r>
      <w:hyperlink r:id="rId13">
        <w:r>
          <w:rPr>
            <w:color w:val="0000EE"/>
            <w:u w:val="single"/>
          </w:rPr>
          <w:t>[2]</w:t>
        </w:r>
      </w:hyperlink>
      <w:hyperlink r:id="rId14">
        <w:r>
          <w:rPr>
            <w:color w:val="0000EE"/>
            <w:u w:val="single"/>
          </w:rPr>
          <w:t>[3]</w:t>
        </w:r>
      </w:hyperlink>
      <w:r/>
    </w:p>
    <w:p>
      <w:r/>
      <w:r>
        <w:t xml:space="preserve">Practical deployment challenges are acknowledged and addressed in the MOCA design. Edge‑level compute limits and intermittent connectivity motivate hierarchical optimisation, policy caching and fast heuristics as fallbacks; federated, privacy‑preserving learning is proposed to share recovery knowledge across farms without exposing sensitive data; and neuromorphic or quantum hardware are proposed as future accelerants for on‑site, low‑power real‑time inference. These directions mirror broader research trends in microgrid design and optimisation that prioritise resilient, decentralised control while balancing techno‑economic constraints. </w:t>
      </w:r>
      <w:hyperlink r:id="rId9">
        <w:r>
          <w:rPr>
            <w:color w:val="0000EE"/>
            <w:u w:val="single"/>
          </w:rPr>
          <w:t>[1]</w:t>
        </w:r>
      </w:hyperlink>
      <w:hyperlink r:id="rId15">
        <w:r>
          <w:rPr>
            <w:color w:val="0000EE"/>
            <w:u w:val="single"/>
          </w:rPr>
          <w:t>[7]</w:t>
        </w:r>
      </w:hyperlink>
      <w:r/>
    </w:p>
    <w:p>
      <w:r/>
      <w:r>
        <w:t xml:space="preserve">There remain open questions before wide deployment. The author’s experiments are compelling at prototype scale, but the transfer of meta‑learned recovery behaviours across different crop types, climate zones and asset mixes will require large‑scale field validation and interoperability testing with existing energy management systems. Robust safety certification, compliance with N‑1 security and contingency standards, and alignment with commercial microgrid economic models will be necessary for operators to adopt MOCA‑style controllers in mission‑critical agricultural contexts. Industry and academic studies of microgrid techno‑economics and critical‑system testing offer pathways for that validation. </w:t>
      </w:r>
      <w:hyperlink r:id="rId9">
        <w:r>
          <w:rPr>
            <w:color w:val="0000EE"/>
            <w:u w:val="single"/>
          </w:rPr>
          <w:t>[1]</w:t>
        </w:r>
      </w:hyperlink>
      <w:hyperlink r:id="rId14">
        <w:r>
          <w:rPr>
            <w:color w:val="0000EE"/>
            <w:u w:val="single"/>
          </w:rPr>
          <w:t>[3]</w:t>
        </w:r>
      </w:hyperlink>
      <w:hyperlink r:id="rId12">
        <w:r>
          <w:rPr>
            <w:color w:val="0000EE"/>
            <w:u w:val="single"/>
          </w:rPr>
          <w:t>[4]</w:t>
        </w:r>
      </w:hyperlink>
      <w:r/>
    </w:p>
    <w:p>
      <w:r/>
      <w:r>
        <w:t xml:space="preserve">In sum, MOCA reframes the microgrid control problem for agriculture from long‑run optimisation to mission‑aware, time‑critical adaptation. By combining meta‑learning, temporal attention, multi‑objective prioritisation and pragmatic quantum‑inspired optimisation, the approach targets the decisive minutes after disruption when the cost of a wrong decision is highest. The proposal aligns with broader evidence that microgrids are increasingly relied upon for mission‑critical reliability and that advanced optimisation and distributed learning methods can materially improve both resilience and operational performance , provided they are validated in realistic, standards‑conforming deployments. </w:t>
      </w:r>
      <w:hyperlink r:id="rId9">
        <w:r>
          <w:rPr>
            <w:color w:val="0000EE"/>
            <w:u w:val="single"/>
          </w:rPr>
          <w:t>[1]</w:t>
        </w:r>
      </w:hyperlink>
      <w:hyperlink r:id="rId13">
        <w:r>
          <w:rPr>
            <w:color w:val="0000EE"/>
            <w:u w:val="single"/>
          </w:rPr>
          <w:t>[2]</w:t>
        </w:r>
      </w:hyperlink>
      <w:hyperlink r:id="rId10">
        <w:r>
          <w:rPr>
            <w:color w:val="0000EE"/>
            <w:u w:val="single"/>
          </w:rPr>
          <w:t>[5]</w:t>
        </w:r>
      </w:hyperlink>
      <w:hyperlink r:id="rId11">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(dev.to , "Meta‑Optimized Continual Adaptation for smart agriculture microgrid orchestration during mission‑critical recovery windows") - Paragraph 1, Paragraph 2, Paragraph 3, Paragraph 4, Paragraph 5, Paragraph 7, Paragraph 8, Paragraph 9</w:t>
      </w:r>
      <w:r/>
    </w:p>
    <w:p>
      <w:pPr>
        <w:pStyle w:val="ListBullet"/>
        <w:spacing w:line="240" w:lineRule="auto"/>
        <w:ind w:left="720"/>
      </w:pPr>
      <w:r/>
      <w:hyperlink r:id="rId10">
        <w:r>
          <w:rPr>
            <w:color w:val="0000EE"/>
            <w:u w:val="single"/>
          </w:rPr>
          <w:t>[5]</w:t>
        </w:r>
      </w:hyperlink>
      <w:r>
        <w:t xml:space="preserve"> (ScienceDirect , metaheuristic optimisation in microgrids) - Paragraph 4, Paragraph 9</w:t>
      </w:r>
      <w:r/>
    </w:p>
    <w:p>
      <w:pPr>
        <w:pStyle w:val="ListBullet"/>
        <w:spacing w:line="240" w:lineRule="auto"/>
        <w:ind w:left="720"/>
      </w:pPr>
      <w:r/>
      <w:hyperlink r:id="rId11">
        <w:r>
          <w:rPr>
            <w:color w:val="0000EE"/>
            <w:u w:val="single"/>
          </w:rPr>
          <w:t>[6]</w:t>
        </w:r>
      </w:hyperlink>
      <w:r>
        <w:t xml:space="preserve"> (Nature , data‑driven priority‑based optimisation for microgrids) - Paragraph 5, Paragraph 9</w:t>
      </w:r>
      <w:r/>
    </w:p>
    <w:p>
      <w:pPr>
        <w:pStyle w:val="ListBullet"/>
        <w:spacing w:line="240" w:lineRule="auto"/>
        <w:ind w:left="720"/>
      </w:pPr>
      <w:r/>
      <w:hyperlink r:id="rId13">
        <w:r>
          <w:rPr>
            <w:color w:val="0000EE"/>
            <w:u w:val="single"/>
          </w:rPr>
          <w:t>[2]</w:t>
        </w:r>
      </w:hyperlink>
      <w:r>
        <w:t xml:space="preserve"> (Microgrid Knowledge , report on mission‑critical enterprises using microgrids) - Paragraph 6, Paragraph 9</w:t>
      </w:r>
      <w:r/>
    </w:p>
    <w:p>
      <w:pPr>
        <w:pStyle w:val="ListBullet"/>
        <w:spacing w:line="240" w:lineRule="auto"/>
        <w:ind w:left="720"/>
      </w:pPr>
      <w:r/>
      <w:hyperlink r:id="rId14">
        <w:r>
          <w:rPr>
            <w:color w:val="0000EE"/>
            <w:u w:val="single"/>
          </w:rPr>
          <w:t>[3]</w:t>
        </w:r>
      </w:hyperlink>
      <w:r>
        <w:t xml:space="preserve"> (ScienceDirect , critical microgrid operation and N‑1 security) - Paragraph 6, Paragraph 8</w:t>
      </w:r>
      <w:r/>
    </w:p>
    <w:p>
      <w:pPr>
        <w:pStyle w:val="ListBullet"/>
        <w:spacing w:line="240" w:lineRule="auto"/>
        <w:ind w:left="720"/>
      </w:pPr>
      <w:r/>
      <w:hyperlink r:id="rId12">
        <w:r>
          <w:rPr>
            <w:color w:val="0000EE"/>
            <w:u w:val="single"/>
          </w:rPr>
          <w:t>[4]</w:t>
        </w:r>
      </w:hyperlink>
      <w:r>
        <w:t xml:space="preserve"> (ScienceDirect , AC residential microgrid design and techno‑economic assessment) - Paragraph 5, Paragraph 8</w:t>
      </w:r>
      <w:r/>
    </w:p>
    <w:p>
      <w:pPr>
        <w:pStyle w:val="ListBullet"/>
        <w:spacing w:line="240" w:lineRule="auto"/>
        <w:ind w:left="720"/>
      </w:pPr>
      <w:r/>
      <w:hyperlink r:id="rId15">
        <w:r>
          <w:rPr>
            <w:color w:val="0000EE"/>
            <w:u w:val="single"/>
          </w:rPr>
          <w:t>[7]</w:t>
        </w:r>
      </w:hyperlink>
      <w:r>
        <w:t xml:space="preserve"> (Nature collection , microgrid design and optimisation)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https://dev.to/rikinptl/meta-optimized-continual-adaptation-for-smart-agriculture-microgrid-orchestration-during-1bm5</w:t>
        </w:r>
      </w:hyperlink>
      <w:r>
        <w:t xml:space="preserve"> - Please view link - unable to able to access data</w:t>
      </w:r>
      <w:r/>
    </w:p>
    <w:p>
      <w:pPr>
        <w:pStyle w:val="ListNumber"/>
        <w:spacing w:line="240" w:lineRule="auto"/>
        <w:ind w:left="720"/>
      </w:pPr>
      <w:r/>
      <w:hyperlink r:id="rId13">
        <w:r>
          <w:rPr>
            <w:color w:val="0000EE"/>
            <w:u w:val="single"/>
          </w:rPr>
          <w:t>https://www.microgridknowledge.com/microgrids/article/11429413/report-shows-mission-critical-enterprises-increasingly-turn-to-microgrids-to-enhance-energy-reliability</w:t>
        </w:r>
      </w:hyperlink>
      <w:r>
        <w:t xml:space="preserve"> - A report from PowerSecure highlights that mission-critical enterprises, such as military bases, healthcare facilities, and data centers, are increasingly adopting microgrids to enhance energy reliability, efficiency, and sustainability. These on-site power systems help mitigate the risks associated with power disturbances, which can damage equipment, disrupt operations, and compromise safety. The integration of microgrids allows these enterprises to maintain continuous operations during power outages, ensuring resilience and operational continuity.</w:t>
      </w:r>
      <w:r/>
    </w:p>
    <w:p>
      <w:pPr>
        <w:pStyle w:val="ListNumber"/>
        <w:spacing w:line="240" w:lineRule="auto"/>
        <w:ind w:left="720"/>
      </w:pPr>
      <w:r/>
      <w:hyperlink r:id="rId14">
        <w:r>
          <w:rPr>
            <w:color w:val="0000EE"/>
            <w:u w:val="single"/>
          </w:rPr>
          <w:t>https://www.sciencedirect.com/science/article/pii/S0378779625002172</w:t>
        </w:r>
      </w:hyperlink>
      <w:r>
        <w:t xml:space="preserve"> - This study addresses the technical challenges associated with operating critical microgrids, emphasizing the importance of implementing preventive N-1 security measures to ensure system reliability and resilience. The research proposes innovative solutions to enhance the functionalities and performance of critical microgrids, validating these approaches through real-world implementation and testing of the ALC-µGRID system. The findings underscore the necessity of robust strategies for the safe and reliable operation of mission-critical microgrids.</w:t>
      </w:r>
      <w:r/>
    </w:p>
    <w:p>
      <w:pPr>
        <w:pStyle w:val="ListNumber"/>
        <w:spacing w:line="240" w:lineRule="auto"/>
        <w:ind w:left="720"/>
      </w:pPr>
      <w:r/>
      <w:hyperlink r:id="rId12">
        <w:r>
          <w:rPr>
            <w:color w:val="0000EE"/>
            <w:u w:val="single"/>
          </w:rPr>
          <w:t>https://www.sciencedirect.com/science/article/pii/S0378779625005036</w:t>
        </w:r>
      </w:hyperlink>
      <w:r>
        <w:t xml:space="preserve"> - This paper explores the design, optimization, and techno-economic assessment of an AC residential microgrid for sustainable energy applications. The proposed multi-objective optimization strategy aims to optimize energy management systems integrating renewable energy sources, energy storage systems, and advanced power management. Using HOMER Pro software for sizing mechanisms, the study investigates multiple microgrid frameworks with different tariffs to find the optimal residential microgrid size, determining the lowest net present cost with optimal setup. The integrated optimizer outperforms conventional methods by enhancing energy storage efficiency, optimizing grid interaction, and reducing dependence on peak-hour supply.</w:t>
      </w:r>
      <w:r/>
    </w:p>
    <w:p>
      <w:pPr>
        <w:pStyle w:val="ListNumber"/>
        <w:spacing w:line="240" w:lineRule="auto"/>
        <w:ind w:left="720"/>
      </w:pPr>
      <w:r/>
      <w:hyperlink r:id="rId10">
        <w:r>
          <w:rPr>
            <w:color w:val="0000EE"/>
            <w:u w:val="single"/>
          </w:rPr>
          <w:t>https://www.sciencedirect.com/science/article/pii/S1568494622010304</w:t>
        </w:r>
      </w:hyperlink>
      <w:r>
        <w:t xml:space="preserve"> - This article discusses the application of metaheuristic optimization algorithms in microgrid energy management. It presents a Distributed Double-Newton Descent (DDND) algorithm designed to address the optimization problem of minimizing the cost of generation and power delivery in microgrids. The effectiveness of the proposed method is demonstrated through simulations on small- and large-scale networks. The study highlights the potential of metaheuristic optimization techniques in improving the efficiency and reliability of microgrid operations.</w:t>
      </w:r>
      <w:r/>
    </w:p>
    <w:p>
      <w:pPr>
        <w:pStyle w:val="ListNumber"/>
        <w:spacing w:line="240" w:lineRule="auto"/>
        <w:ind w:left="720"/>
      </w:pPr>
      <w:r/>
      <w:hyperlink r:id="rId11">
        <w:r>
          <w:rPr>
            <w:color w:val="0000EE"/>
            <w:u w:val="single"/>
          </w:rPr>
          <w:t>https://www.nature.com/articles/s41598-024-58767-4</w:t>
        </w:r>
      </w:hyperlink>
      <w:r>
        <w:t xml:space="preserve"> - This research focuses on data-driven optimization for microgrid control under distributed energy resource variability. It develops a priority-based cost optimization function to optimize the operation of hybrid PV-wind-controllable distributed generators in microgrids, considering uncertainties associated with various intermittent parameters. The objective function includes the operating cost of controllable distributed generators, emission cost, battery cost, grid energy exchange cost, and load shedding cost. The study provides insights into effective scheduling strategies for microgrids to ensure optimal performance amidst variability in renewable energy sources.</w:t>
      </w:r>
      <w:r/>
    </w:p>
    <w:p>
      <w:pPr>
        <w:pStyle w:val="ListNumber"/>
        <w:spacing w:line="240" w:lineRule="auto"/>
        <w:ind w:left="720"/>
      </w:pPr>
      <w:r/>
      <w:hyperlink r:id="rId15">
        <w:r>
          <w:rPr>
            <w:color w:val="0000EE"/>
            <w:u w:val="single"/>
          </w:rPr>
          <w:t>https://www.nature.com/collections/iadaebjghb</w:t>
        </w:r>
      </w:hyperlink>
      <w:r>
        <w:t xml:space="preserve"> - The 'Microgrid Design and Optimization' collection by Nature encompasses a range of research focused on the transformative approach to energy management through microgrids. These studies integrate local power generation, energy storage, and advanced control systems to enhance resilience, flexibility, and efficiency in energy usage. The collection highlights the role of microgrids in reducing greenhouse gas emissions and providing localized power solutions, emphasizing the importance of optimization in microgrid design to balance supply-demand relationships and achieve sustainable energy solutions.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ev.to/rikinptl/meta-optimized-continual-adaptation-for-smart-agriculture-microgrid-orchestration-during-1bm5" TargetMode="External"/><Relationship Id="rId10" Type="http://schemas.openxmlformats.org/officeDocument/2006/relationships/hyperlink" Target="https://www.sciencedirect.com/science/article/pii/S1568494622010304" TargetMode="External"/><Relationship Id="rId11" Type="http://schemas.openxmlformats.org/officeDocument/2006/relationships/hyperlink" Target="https://www.nature.com/articles/s41598-024-58767-4" TargetMode="External"/><Relationship Id="rId12" Type="http://schemas.openxmlformats.org/officeDocument/2006/relationships/hyperlink" Target="https://www.sciencedirect.com/science/article/pii/S0378779625005036" TargetMode="External"/><Relationship Id="rId13" Type="http://schemas.openxmlformats.org/officeDocument/2006/relationships/hyperlink" Target="https://www.microgridknowledge.com/microgrids/article/11429413/report-shows-mission-critical-enterprises-increasingly-turn-to-microgrids-to-enhance-energy-reliability" TargetMode="External"/><Relationship Id="rId14" Type="http://schemas.openxmlformats.org/officeDocument/2006/relationships/hyperlink" Target="https://www.sciencedirect.com/science/article/pii/S0378779625002172" TargetMode="External"/><Relationship Id="rId15" Type="http://schemas.openxmlformats.org/officeDocument/2006/relationships/hyperlink" Target="https://www.nature.com/collections/iadaebjghb"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