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Regulated data platforms refine medallion architecture to balance auditability and analytics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Modern regulated platforms separate immutable historical truth from analytics-ready state by keeping full SCD2 history in a Bronze layer and exposing a simplified, non‑SCD Silver layer. According to the original report, Apache Iceberg, Apache Hudi, Google BigQuery and Microsoft Fabric each implement this Bronze→Silver medallion pattern differently, but the architectural outcome, preserve every change for auditability while presenting one current row per business entity for analytics, remains consistent. </w:t>
      </w:r>
      <w:hyperlink r:id="rId9">
        <w:r>
          <w:rPr>
            <w:color w:val="0000EE"/>
            <w:u w:val="single"/>
          </w:rPr>
          <w:t>[1]</w:t>
        </w:r>
      </w:hyperlink>
      <w:r/>
    </w:p>
    <w:p>
      <w:r/>
      <w:r>
        <w:t xml:space="preserve">The pattern exists because two distinct requirements cannot be served well by a single representation: regulators and auditors demand point‑in‑time reconstruction, lineage and an immutable record; analysts and ML workflows demand stable, de‑versioned rows and simple joins. Industry guidance and medallion literature frame this as a structural, not merely tooling, imperative. </w:t>
      </w:r>
      <w:hyperlink r:id="rId9">
        <w:r>
          <w:rPr>
            <w:color w:val="0000EE"/>
            <w:u w:val="single"/>
          </w:rPr>
          <w:t>[1]</w:t>
        </w:r>
      </w:hyperlink>
      <w:hyperlink r:id="rId10">
        <w:r>
          <w:rPr>
            <w:color w:val="0000EE"/>
            <w:u w:val="single"/>
          </w:rPr>
          <w:t>[4]</w:t>
        </w:r>
      </w:hyperlink>
      <w:hyperlink r:id="rId11">
        <w:r>
          <w:rPr>
            <w:color w:val="0000EE"/>
            <w:u w:val="single"/>
          </w:rPr>
          <w:t>[7]</w:t>
        </w:r>
      </w:hyperlink>
      <w:r/>
    </w:p>
    <w:p>
      <w:r/>
      <w:r>
        <w:t xml:space="preserve">In practice, Bronze tables store full SCD2 attributes such as effective_from, effective_to and current_flag to support time travel and forensic reconstruction, while Silver tables drop temporal metadata and present a single current record per business key. Microsoft’s OneLake medallion guidance describes this Bronze→Silver→Gold progression and highlights Delta Lake’s ACID guarantees as a practical underpinning for reliable layer transitions. </w:t>
      </w:r>
      <w:hyperlink r:id="rId9">
        <w:r>
          <w:rPr>
            <w:color w:val="0000EE"/>
            <w:u w:val="single"/>
          </w:rPr>
          <w:t>[1]</w:t>
        </w:r>
      </w:hyperlink>
      <w:hyperlink r:id="rId12">
        <w:r>
          <w:rPr>
            <w:color w:val="0000EE"/>
            <w:u w:val="single"/>
          </w:rPr>
          <w:t>[2]</w:t>
        </w:r>
      </w:hyperlink>
      <w:r/>
    </w:p>
    <w:p>
      <w:r/>
      <w:r>
        <w:t xml:space="preserve">Some platforms expose current state via views or semantic layers (for example Iceberg views, BigQuery materialised views or Fabric Direct Lake models). The original report cautions that, in regulated environments, materialised Silver tables are usually preferred to avoid unpredictable costs, accidental coupling to historical logic and unclear ownership boundaries, concerns echoed in best‑practice guidance on medallion implementations. </w:t>
      </w:r>
      <w:hyperlink r:id="rId9">
        <w:r>
          <w:rPr>
            <w:color w:val="0000EE"/>
            <w:u w:val="single"/>
          </w:rPr>
          <w:t>[1]</w:t>
        </w:r>
      </w:hyperlink>
      <w:hyperlink r:id="rId13">
        <w:r>
          <w:rPr>
            <w:color w:val="0000EE"/>
            <w:u w:val="single"/>
          </w:rPr>
          <w:t>[5]</w:t>
        </w:r>
      </w:hyperlink>
      <w:r/>
    </w:p>
    <w:p>
      <w:r/>
      <w:r>
        <w:t xml:space="preserve">Operationally, Bronze→Silver pipelines are incremental rather than full rebuilds: changes are detected and only affected entities are refreshed. The trigger differs by platform, Iceberg uses snapshot or timestamp scans, Hudi advances via commit timelines, BigQuery relies on partition filters and scheduled execution, and Fabric tracks Delta versions via pipelines or Dataflows, but the intent is the same: keep compute predictable, limit blast radius and make Silver the analytics contract. Tools such as dbt, Airflow or platform pipelines commonly orchestrate these flows. </w:t>
      </w:r>
      <w:hyperlink r:id="rId9">
        <w:r>
          <w:rPr>
            <w:color w:val="0000EE"/>
            <w:u w:val="single"/>
          </w:rPr>
          <w:t>[1]</w:t>
        </w:r>
      </w:hyperlink>
      <w:hyperlink r:id="rId14">
        <w:r>
          <w:rPr>
            <w:color w:val="0000EE"/>
            <w:u w:val="single"/>
          </w:rPr>
          <w:t>[3]</w:t>
        </w:r>
      </w:hyperlink>
      <w:r/>
    </w:p>
    <w:p>
      <w:r/>
      <w:r>
        <w:t xml:space="preserve">Apache Iceberg’s metadata‑rich snapshots, hidden partitioning, equality deletes and time‑travel capabilities lend themselves to efficient incremental Bronze reads and simple Silver materialisations. According to the original report, practical steps include incremental scans against snapshots, filtering on current_flag or effective_to = '9999‑12‑31', and using equality deletes to deduplicate or replace Silver rows. Broader medallion literature notes Iceberg’s suitability where flexible schema and partition evolution are required. </w:t>
      </w:r>
      <w:hyperlink r:id="rId9">
        <w:r>
          <w:rPr>
            <w:color w:val="0000EE"/>
            <w:u w:val="single"/>
          </w:rPr>
          <w:t>[1]</w:t>
        </w:r>
      </w:hyperlink>
      <w:hyperlink r:id="rId10">
        <w:r>
          <w:rPr>
            <w:color w:val="0000EE"/>
            <w:u w:val="single"/>
          </w:rPr>
          <w:t>[4]</w:t>
        </w:r>
      </w:hyperlink>
      <w:hyperlink r:id="rId15">
        <w:r>
          <w:rPr>
            <w:color w:val="0000EE"/>
            <w:u w:val="single"/>
          </w:rPr>
          <w:t>[6]</w:t>
        </w:r>
      </w:hyperlink>
      <w:r/>
    </w:p>
    <w:p>
      <w:r/>
      <w:r>
        <w:t xml:space="preserve">Apache Hudi is presented as CDC‑centric: its commit timelines, precombine semantics and operation columns make incremental pulls and upserts native. The recommended flow is to pull _hoodie_commit_time &gt; last_commit, filter out tombstones and non‑current rows, then upsert into a materialised Silver table using engines such as Spark or Flink. The report and cloud‑provider guidance underline Hudi’s advantage for near‑real‑time Silver tables in change‑heavy environments. </w:t>
      </w:r>
      <w:hyperlink r:id="rId9">
        <w:r>
          <w:rPr>
            <w:color w:val="0000EE"/>
            <w:u w:val="single"/>
          </w:rPr>
          <w:t>[1]</w:t>
        </w:r>
      </w:hyperlink>
      <w:hyperlink r:id="rId14">
        <w:r>
          <w:rPr>
            <w:color w:val="0000EE"/>
            <w:u w:val="single"/>
          </w:rPr>
          <w:t>[3]</w:t>
        </w:r>
      </w:hyperlink>
      <w:r/>
    </w:p>
    <w:p>
      <w:r/>
      <w:r>
        <w:t xml:space="preserve">BigQuery achieves the same architectural separation without an external table format by leaning on fast columnar execution, partitioning, clustering and window functions such as QUALIFY. The pattern shown uses MERGE and partition filters for Bronze ingestion and a QUALIFY ROW_NUMBER() OVER (PARTITION BY … ORDER BY effective_from DESC) = 1 to produce the current record, subsequently materialised into a Silver table to control cost and ensure predictable performance. Google Cloud documentation and practical examples reinforce this approach for managed environments. </w:t>
      </w:r>
      <w:hyperlink r:id="rId9">
        <w:r>
          <w:rPr>
            <w:color w:val="0000EE"/>
            <w:u w:val="single"/>
          </w:rPr>
          <w:t>[1]</w:t>
        </w:r>
      </w:hyperlink>
      <w:hyperlink r:id="rId14">
        <w:r>
          <w:rPr>
            <w:color w:val="0000EE"/>
            <w:u w:val="single"/>
          </w:rPr>
          <w:t>[3]</w:t>
        </w:r>
      </w:hyperlink>
      <w:r/>
    </w:p>
    <w:p>
      <w:r/>
      <w:r>
        <w:t xml:space="preserve">Microsoft Fabric and Synapse, operating on Delta Lake in OneLake, blend lakehouse and warehouse engines with integrated pipelines and Dataflows. The practical route mirrors Databricks patterns: MERGE‑based Bronze ingestion, filter for IsCurrent = 1 to derive Silver, then materialise Silver as a Delta or warehouse table for Power BI and analytic consumption. Microsoft’s guidance emphasises using Silver as the stable domain surface for reporting and governance. </w:t>
      </w:r>
      <w:hyperlink r:id="rId9">
        <w:r>
          <w:rPr>
            <w:color w:val="0000EE"/>
            <w:u w:val="single"/>
          </w:rPr>
          <w:t>[1]</w:t>
        </w:r>
      </w:hyperlink>
      <w:hyperlink r:id="rId12">
        <w:r>
          <w:rPr>
            <w:color w:val="0000EE"/>
            <w:u w:val="single"/>
          </w:rPr>
          <w:t>[2]</w:t>
        </w:r>
      </w:hyperlink>
      <w:r/>
    </w:p>
    <w:p>
      <w:r/>
      <w:r>
        <w:t xml:space="preserve">Across platforms the same engineering trade‑offs recur: expose current state cheaply and predictably, preserve full temporal history for compliance, and operate incrementally to constrain cost and risk. According to the original report and supporting best‑practice resources, the recommended implementation is to make Silver the analytics boundary, materialised, monitored for freshness, and governed, while keeping Bronze as the auditable source of truth that enables point‑in‑time reconstruction, backfills and forensic analysis. </w:t>
      </w:r>
      <w:hyperlink r:id="rId9">
        <w:r>
          <w:rPr>
            <w:color w:val="0000EE"/>
            <w:u w:val="single"/>
          </w:rPr>
          <w:t>[1]</w:t>
        </w:r>
      </w:hyperlink>
      <w:hyperlink r:id="rId13">
        <w:r>
          <w:rPr>
            <w:color w:val="0000EE"/>
            <w:u w:val="single"/>
          </w:rPr>
          <w:t>[5]</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(horkan.com) - Paragraph 1, Paragraph 2, Paragraph 3, Paragraph 4, Paragraph 5, Paragraph 6, Paragraph 7, Paragraph 8, Paragraph 9, Paragraph 10 </w:t>
      </w:r>
      <w:r/>
    </w:p>
    <w:p>
      <w:pPr>
        <w:pStyle w:val="ListBullet"/>
        <w:spacing w:line="240" w:lineRule="auto"/>
        <w:ind w:left="720"/>
      </w:pPr>
      <w:r/>
      <w:hyperlink r:id="rId12">
        <w:r>
          <w:rPr>
            <w:color w:val="0000EE"/>
            <w:u w:val="single"/>
          </w:rPr>
          <w:t>[2]</w:t>
        </w:r>
      </w:hyperlink>
      <w:r>
        <w:t xml:space="preserve"> (Microsoft Learn) - Paragraph 3, Paragraph 9 </w:t>
      </w:r>
      <w:r/>
    </w:p>
    <w:p>
      <w:pPr>
        <w:pStyle w:val="ListBullet"/>
        <w:spacing w:line="240" w:lineRule="auto"/>
        <w:ind w:left="720"/>
      </w:pPr>
      <w:r/>
      <w:hyperlink r:id="rId14">
        <w:r>
          <w:rPr>
            <w:color w:val="0000EE"/>
            <w:u w:val="single"/>
          </w:rPr>
          <w:t>[3]</w:t>
        </w:r>
      </w:hyperlink>
      <w:r>
        <w:t xml:space="preserve"> (Google Cloud Blog) - Paragraph 5, Paragraph 7, Paragraph 8 </w:t>
      </w:r>
      <w:r/>
    </w:p>
    <w:p>
      <w:pPr>
        <w:pStyle w:val="ListBullet"/>
        <w:spacing w:line="240" w:lineRule="auto"/>
        <w:ind w:left="720"/>
      </w:pPr>
      <w:r/>
      <w:hyperlink r:id="rId10">
        <w:r>
          <w:rPr>
            <w:color w:val="0000EE"/>
            <w:u w:val="single"/>
          </w:rPr>
          <w:t>[4]</w:t>
        </w:r>
      </w:hyperlink>
      <w:r>
        <w:t xml:space="preserve"> (DATAVERSITY) - Paragraph 2, Paragraph 6 </w:t>
      </w:r>
      <w:r/>
    </w:p>
    <w:p>
      <w:pPr>
        <w:pStyle w:val="ListBullet"/>
        <w:spacing w:line="240" w:lineRule="auto"/>
        <w:ind w:left="720"/>
      </w:pPr>
      <w:r/>
      <w:hyperlink r:id="rId13">
        <w:r>
          <w:rPr>
            <w:color w:val="0000EE"/>
            <w:u w:val="single"/>
          </w:rPr>
          <w:t>[5]</w:t>
        </w:r>
      </w:hyperlink>
      <w:r>
        <w:t xml:space="preserve"> (PandoraSigns best practices) - Paragraph 4, Paragraph 10 </w:t>
      </w:r>
      <w:r/>
    </w:p>
    <w:p>
      <w:pPr>
        <w:pStyle w:val="ListBullet"/>
        <w:spacing w:line="240" w:lineRule="auto"/>
        <w:ind w:left="720"/>
      </w:pPr>
      <w:r/>
      <w:hyperlink r:id="rId15">
        <w:r>
          <w:rPr>
            <w:color w:val="0000EE"/>
            <w:u w:val="single"/>
          </w:rPr>
          <w:t>[6]</w:t>
        </w:r>
      </w:hyperlink>
      <w:r>
        <w:t xml:space="preserve"> (tsicilian.wordpress.com) - Paragraph 6 </w:t>
      </w:r>
      <w:r/>
    </w:p>
    <w:p>
      <w:pPr>
        <w:pStyle w:val="ListBullet"/>
        <w:spacing w:line="240" w:lineRule="auto"/>
        <w:ind w:left="720"/>
      </w:pPr>
      <w:r/>
      <w:hyperlink r:id="rId11">
        <w:r>
          <w:rPr>
            <w:color w:val="0000EE"/>
            <w:u w:val="single"/>
          </w:rPr>
          <w:t>[7]</w:t>
        </w:r>
      </w:hyperlink>
      <w:r>
        <w:t xml:space="preserve"> (Athena Solutions) - Paragraph 2,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https://horkan.com/2025/12/14/from-scd2-bronze-to-a-non-scd-silver-layer-in-other-tech-iceberg-hudi-bigquery-fabric</w:t>
        </w:r>
      </w:hyperlink>
      <w:r>
        <w:t xml:space="preserve"> - Please view link - unable to able to access data</w:t>
      </w:r>
      <w:r/>
    </w:p>
    <w:p>
      <w:pPr>
        <w:pStyle w:val="ListNumber"/>
        <w:spacing w:line="240" w:lineRule="auto"/>
        <w:ind w:left="720"/>
      </w:pPr>
      <w:r/>
      <w:hyperlink r:id="rId12">
        <w:r>
          <w:rPr>
            <w:color w:val="0000EE"/>
            <w:u w:val="single"/>
          </w:rPr>
          <w:t>https://learn.microsoft.com/en-us/fabric/onelake/onelake-medallion-lakehouse-architecture</w:t>
        </w:r>
      </w:hyperlink>
      <w:r>
        <w:t xml:space="preserve"> - This article from Microsoft Learn discusses the implementation of the medallion lakehouse architecture in Microsoft Fabric. It explains how the Bronze, Silver, and Gold layers are structured within OneLake, Microsoft's unified data lake. The Bronze layer stores raw data, the Silver layer contains cleansed and enriched data, and the Gold layer holds aggregated and transformed data ready for analytics. The piece also highlights the use of Delta Lake storage for ACID transactions and the benefits of this architecture in managing large-scale datasets efficiently.</w:t>
      </w:r>
      <w:r/>
    </w:p>
    <w:p>
      <w:pPr>
        <w:pStyle w:val="ListNumber"/>
        <w:spacing w:line="240" w:lineRule="auto"/>
        <w:ind w:left="720"/>
      </w:pPr>
      <w:r/>
      <w:hyperlink r:id="rId14">
        <w:r>
          <w:rPr>
            <w:color w:val="0000EE"/>
            <w:u w:val="single"/>
          </w:rPr>
          <w:t>https://cloud.google.com/blog/products/data-analytics/getting-started-with-new-table-formats-on-dataproc</w:t>
        </w:r>
      </w:hyperlink>
      <w:r>
        <w:t xml:space="preserve"> - This Google Cloud Blog post introduces the availability of table format projects on Dataproc, focusing on Apache Hudi. It provides guidance on running Apache Hudi on Google Cloud, detailing the setup process and integration with Dataproc. The article includes step-by-step instructions for loading and processing data using Hudi, emphasizing its capabilities in managing large-scale datasets and supporting change data capture (CDC) operations. It also mentions the support for Scala 2.12 and the Avro library, which are essential for running Hudi on Dataproc.</w:t>
      </w:r>
      <w:r/>
    </w:p>
    <w:p>
      <w:pPr>
        <w:pStyle w:val="ListNumber"/>
        <w:spacing w:line="240" w:lineRule="auto"/>
        <w:ind w:left="720"/>
      </w:pPr>
      <w:r/>
      <w:hyperlink r:id="rId10">
        <w:r>
          <w:rPr>
            <w:color w:val="0000EE"/>
            <w:u w:val="single"/>
          </w:rPr>
          <w:t>https://content.dataversity.net/rs/656-WMW-918/images/FEB25_AArch_slides.pdf?version=0</w:t>
        </w:r>
      </w:hyperlink>
      <w:r>
        <w:t xml:space="preserve"> - This presentation from DATAVERSITY provides an overview of various data architectures, including the Medallion Architecture. It discusses the Bronze, Silver, and Gold layers, detailing how each layer serves a specific purpose in data processing and analytics. The presentation also covers the support for Apache Iceberg and Delta Lake across different platforms, highlighting their roles in managing large-scale data efficiently. It provides insights into the implementation and benefits of these architectures in modern data platforms.</w:t>
      </w:r>
      <w:r/>
    </w:p>
    <w:p>
      <w:pPr>
        <w:pStyle w:val="ListNumber"/>
        <w:spacing w:line="240" w:lineRule="auto"/>
        <w:ind w:left="720"/>
      </w:pPr>
      <w:r/>
      <w:hyperlink r:id="rId13">
        <w:r>
          <w:rPr>
            <w:color w:val="0000EE"/>
            <w:u w:val="single"/>
          </w:rPr>
          <w:t>https://pandorasigns.com/users/UserFiles/File/6466b266-e485-45d0-bda5-ca5f3285fe99.pdf</w:t>
        </w:r>
      </w:hyperlink>
      <w:r>
        <w:t xml:space="preserve"> - This document discusses best practices for managing the Bronze, Silver, and Gold layers in the Medallion Architecture. It addresses challenges such as ingestion bottlenecks, deduplication inefficiencies, and pipeline performance. The article provides strategies for optimizing data workflows across platforms like Databricks, Microsoft Fabric, Snowflake, and Azure Synapse Analytics. It emphasizes the importance of efficient data processing and offers practical solutions to enhance performance and data quality in large-scale data environments.</w:t>
      </w:r>
      <w:r/>
    </w:p>
    <w:p>
      <w:pPr>
        <w:pStyle w:val="ListNumber"/>
        <w:spacing w:line="240" w:lineRule="auto"/>
        <w:ind w:left="720"/>
      </w:pPr>
      <w:r/>
      <w:hyperlink r:id="rId15">
        <w:r>
          <w:rPr>
            <w:color w:val="0000EE"/>
            <w:u w:val="single"/>
          </w:rPr>
          <w:t>https://tsicilian.wordpress.com/2023/06/18/third-generation-data-platforms-the-lakehouse/</w:t>
        </w:r>
      </w:hyperlink>
      <w:r>
        <w:t xml:space="preserve"> - This blog post explores third-generation data platforms, focusing on the Lakehouse architecture. It compares various platforms, including Databricks, Snowflake, and Microsoft Fabric, highlighting their support for Apache Iceberg, Delta Lake, and Hudi. The article discusses the evolution of data platforms and the adoption of Lakehouse architectures, emphasizing the benefits of unifying data lakes and warehouses. It provides insights into the features and capabilities of these platforms in managing large-scale data efficiently.</w:t>
      </w:r>
      <w:r/>
    </w:p>
    <w:p>
      <w:pPr>
        <w:pStyle w:val="ListNumber"/>
        <w:spacing w:line="240" w:lineRule="auto"/>
        <w:ind w:left="720"/>
      </w:pPr>
      <w:r/>
      <w:hyperlink r:id="rId11">
        <w:r>
          <w:rPr>
            <w:color w:val="0000EE"/>
            <w:u w:val="single"/>
          </w:rPr>
          <w:t>https://athena-solutions.com/implementing-a-data-lakehouse-best-practices/</w:t>
        </w:r>
      </w:hyperlink>
      <w:r>
        <w:t xml:space="preserve"> - This article outlines best practices for implementing a data lakehouse, focusing on the Medallion Architecture. It details the Bronze, Silver, and Gold layers, explaining their roles in data ingestion, cleansing, and aggregation. The piece emphasizes the importance of organizing data into these layers to improve data quality, simplify governance, and provide clarity in data processing pipelines. It offers practical guidance for building scalable and efficient data lakehouses using this architectural pattern.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rkan.com/2025/12/14/from-scd2-bronze-to-a-non-scd-silver-layer-in-other-tech-iceberg-hudi-bigquery-fabric" TargetMode="External"/><Relationship Id="rId10" Type="http://schemas.openxmlformats.org/officeDocument/2006/relationships/hyperlink" Target="https://content.dataversity.net/rs/656-WMW-918/images/FEB25_AArch_slides.pdf?version=0" TargetMode="External"/><Relationship Id="rId11" Type="http://schemas.openxmlformats.org/officeDocument/2006/relationships/hyperlink" Target="https://athena-solutions.com/implementing-a-data-lakehouse-best-practices/" TargetMode="External"/><Relationship Id="rId12" Type="http://schemas.openxmlformats.org/officeDocument/2006/relationships/hyperlink" Target="https://learn.microsoft.com/en-us/fabric/onelake/onelake-medallion-lakehouse-architecture" TargetMode="External"/><Relationship Id="rId13" Type="http://schemas.openxmlformats.org/officeDocument/2006/relationships/hyperlink" Target="https://pandorasigns.com/users/UserFiles/File/6466b266-e485-45d0-bda5-ca5f3285fe99.pdf" TargetMode="External"/><Relationship Id="rId14" Type="http://schemas.openxmlformats.org/officeDocument/2006/relationships/hyperlink" Target="https://cloud.google.com/blog/products/data-analytics/getting-started-with-new-table-formats-on-dataproc" TargetMode="External"/><Relationship Id="rId15" Type="http://schemas.openxmlformats.org/officeDocument/2006/relationships/hyperlink" Target="https://tsicilian.wordpress.com/2023/06/18/third-generation-data-platforms-the-lakehou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