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Teradata's autonomous customer intelligence framework drives real-time decisioning disruption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architecture underpinning customer data is shifting from static, batch-driven analytics toward systems that sense, decide and act in real time. According to the original report from Teradata, the Customer Intelligence Framework is designed to close that loop by combining unified Customer 360 data products, in-database feature engineering and event-driven signal detection with guard-railed agents that execute just-in-time decisions. The company says this approach is intended to move organisations from delayed insight to immediate, measurable customer actions. </w:t>
      </w:r>
      <w:hyperlink r:id="rId9">
        <w:r>
          <w:rPr>
            <w:color w:val="0000EE"/>
            <w:u w:val="single"/>
          </w:rPr>
          <w:t>[1]</w:t>
        </w:r>
      </w:hyperlink>
      <w:hyperlink r:id="rId10">
        <w:r>
          <w:rPr>
            <w:color w:val="0000EE"/>
            <w:u w:val="single"/>
          </w:rPr>
          <w:t>[3]</w:t>
        </w:r>
      </w:hyperlink>
      <w:hyperlink r:id="rId11">
        <w:r>
          <w:rPr>
            <w:color w:val="0000EE"/>
            <w:u w:val="single"/>
          </w:rPr>
          <w:t>[2]</w:t>
        </w:r>
      </w:hyperlink>
      <w:r/>
    </w:p>
    <w:p>
      <w:r/>
      <w:r>
        <w:t xml:space="preserve">At its core the framework rests on three reusable primitives: data products that package governed customer information; signals that represent meaningful, real-time patterns in behaviour; and agents, autonomous software entities that execute decisions within prescribed controls. Industry materials describe these elements as the building blocks that let analytics shift from retrospective reporting to ongoing, action-oriented workflows. The design emphasises auditability and governance, keeping computation and lineage inside the enterprise data platform. </w:t>
      </w:r>
      <w:hyperlink r:id="rId9">
        <w:r>
          <w:rPr>
            <w:color w:val="0000EE"/>
            <w:u w:val="single"/>
          </w:rPr>
          <w:t>[1]</w:t>
        </w:r>
      </w:hyperlink>
      <w:hyperlink r:id="rId10">
        <w:r>
          <w:rPr>
            <w:color w:val="0000EE"/>
            <w:u w:val="single"/>
          </w:rPr>
          <w:t>[3]</w:t>
        </w:r>
      </w:hyperlink>
      <w:hyperlink r:id="rId12">
        <w:r>
          <w:rPr>
            <w:color w:val="0000EE"/>
            <w:u w:val="single"/>
          </w:rPr>
          <w:t>[7]</w:t>
        </w:r>
      </w:hyperlink>
      <w:r/>
    </w:p>
    <w:p>
      <w:r/>
      <w:r>
        <w:t xml:space="preserve">Technically, the stack flows from broad ingestion (streaming, ETL, object storage and APIs) through in-database feature engineering to hybrid decisioning that blends ML, heuristics and policy rules. Teradata highlights in-database execution as a key efficiency, arguing it reduces data movement and improves runtime performance for production decisioning. The company also positions pre-built industry data models and REST/Python/SQL access to data products as accelerators for deployment. </w:t>
      </w:r>
      <w:hyperlink r:id="rId9">
        <w:r>
          <w:rPr>
            <w:color w:val="0000EE"/>
            <w:u w:val="single"/>
          </w:rPr>
          <w:t>[1]</w:t>
        </w:r>
      </w:hyperlink>
      <w:hyperlink r:id="rId10">
        <w:r>
          <w:rPr>
            <w:color w:val="0000EE"/>
            <w:u w:val="single"/>
          </w:rPr>
          <w:t>[3]</w:t>
        </w:r>
      </w:hyperlink>
      <w:hyperlink r:id="rId12">
        <w:r>
          <w:rPr>
            <w:color w:val="0000EE"/>
            <w:u w:val="single"/>
          </w:rPr>
          <w:t>[7]</w:t>
        </w:r>
      </w:hyperlink>
      <w:r/>
    </w:p>
    <w:p>
      <w:r/>
      <w:r>
        <w:t xml:space="preserve">Signal processing is treated as a semantic layer: low-level technical outputs (scores, thresholds or sequences) are mapped to business concepts such as intent, risk or opportunity so that downstream applications and agents can subscribe to “business-ready” events. Service activation is implemented with publish/subscribe patterns, Teradata describes VCX as the runtime that streams those decisions to downstream channels where next-best actions, retention offers or remediation steps are executed. The aim is a closed feedback loop where outcomes return for continuous learning. </w:t>
      </w:r>
      <w:hyperlink r:id="rId9">
        <w:r>
          <w:rPr>
            <w:color w:val="0000EE"/>
            <w:u w:val="single"/>
          </w:rPr>
          <w:t>[1]</w:t>
        </w:r>
      </w:hyperlink>
      <w:hyperlink r:id="rId13">
        <w:r>
          <w:rPr>
            <w:color w:val="0000EE"/>
            <w:u w:val="single"/>
          </w:rPr>
          <w:t>[4]</w:t>
        </w:r>
      </w:hyperlink>
      <w:r/>
    </w:p>
    <w:p>
      <w:r/>
      <w:r>
        <w:t xml:space="preserve">Teradata has framed the initial commercial focus around Customer Lifetime Value (CLV). The company and accompanying press materials describe a CLV multi-agent demo that runs inside AgentBuilder and keeps computation in Vantage, combining LLMs and analytics to surface which customer types drive value and recommend next-best actions. According to the press release, the offering embeds agents across the lifecycle, from data product construction to signal detection and activation, so businesses can engage, retain and grow high-value relationships in near real time. Editorially, those claims should be read as vendor positioning for a new managed software-and-services product. </w:t>
      </w:r>
      <w:hyperlink r:id="rId11">
        <w:r>
          <w:rPr>
            <w:color w:val="0000EE"/>
            <w:u w:val="single"/>
          </w:rPr>
          <w:t>[2]</w:t>
        </w:r>
      </w:hyperlink>
      <w:hyperlink r:id="rId14">
        <w:r>
          <w:rPr>
            <w:color w:val="0000EE"/>
            <w:u w:val="single"/>
          </w:rPr>
          <w:t>[5]</w:t>
        </w:r>
      </w:hyperlink>
      <w:hyperlink r:id="rId9">
        <w:r>
          <w:rPr>
            <w:color w:val="0000EE"/>
            <w:u w:val="single"/>
          </w:rPr>
          <w:t>[1]</w:t>
        </w:r>
      </w:hyperlink>
      <w:r/>
    </w:p>
    <w:p>
      <w:r/>
      <w:r>
        <w:t xml:space="preserve">The demo architecture illustrates a governed multi-agent flow: an intent-identification agent routes requests to specialist agents (data exploration, insight generation or strategic reasoning), a chart-gating agent decides whether a visualization is required, and a final LLM node composes a concise, business-ready response. Teradata says the pattern supports traceability, every response links back to the data, policy flags and nodes executed, while allowing visuals only when they add clarity. External coverage echoes the same capabilities but frames them as part of a broader market trend toward AI-ready data platforms and repeatable “AI factory” architectures. </w:t>
      </w:r>
      <w:hyperlink r:id="rId9">
        <w:r>
          <w:rPr>
            <w:color w:val="0000EE"/>
            <w:u w:val="single"/>
          </w:rPr>
          <w:t>[1]</w:t>
        </w:r>
      </w:hyperlink>
      <w:hyperlink r:id="rId10">
        <w:r>
          <w:rPr>
            <w:color w:val="0000EE"/>
            <w:u w:val="single"/>
          </w:rPr>
          <w:t>[3]</w:t>
        </w:r>
      </w:hyperlink>
      <w:hyperlink r:id="rId15">
        <w:r>
          <w:rPr>
            <w:color w:val="0000EE"/>
            <w:u w:val="single"/>
          </w:rPr>
          <w:t>[6]</w:t>
        </w:r>
      </w:hyperlink>
      <w:hyperlink r:id="rId12">
        <w:r>
          <w:rPr>
            <w:color w:val="0000EE"/>
            <w:u w:val="single"/>
          </w:rPr>
          <w:t>[7]</w:t>
        </w:r>
      </w:hyperlink>
      <w:r/>
    </w:p>
    <w:p>
      <w:r/>
      <w:r>
        <w:t xml:space="preserve">Practical benefits outlined by Teradata include faster time-to-action through reusable assets and templates, reduced operational costs by deflecting expensive service channels, and improved personalisation via real-time signals. Independent summaries and event materials describe the same promise, personalised experiences at scale, while noting that effectiveness will depend on quality of underlying data, governance discipline and careful configuration of agent guardrails. Industry observers argue that embedding autonomous agents across decision pipelines raises both operational opportunity and the need for robust controls. </w:t>
      </w:r>
      <w:hyperlink r:id="rId13">
        <w:r>
          <w:rPr>
            <w:color w:val="0000EE"/>
            <w:u w:val="single"/>
          </w:rPr>
          <w:t>[4]</w:t>
        </w:r>
      </w:hyperlink>
      <w:hyperlink r:id="rId15">
        <w:r>
          <w:rPr>
            <w:color w:val="0000EE"/>
            <w:u w:val="single"/>
          </w:rPr>
          <w:t>[6]</w:t>
        </w:r>
      </w:hyperlink>
      <w:hyperlink r:id="rId10">
        <w:r>
          <w:rPr>
            <w:color w:val="0000EE"/>
            <w:u w:val="single"/>
          </w:rPr>
          <w:t>[3]</w:t>
        </w:r>
      </w:hyperlink>
      <w:r/>
    </w:p>
    <w:p>
      <w:r/>
      <w:r>
        <w:t xml:space="preserve">Taken together, the Customer Intelligence Framework represents Teradata’s attempt to productise an event-driven, agent-augmented data architecture that keeps computation within a governed data platform. The company claims the pattern scales beyond CLV to use cases such as churn reduction, cross-sell optimisation and service issue deflection; industry summaries place that claim in the context of an emerging standard for AI data architectures, the “AI factory”, that emphasises repeatability, monitoring and governance. Organisations evaluating the offering should weigh the vendor’s performance and auditability claims against their own data readiness, integration complexity and the governance required to operate autonomous agents safely. </w:t>
      </w:r>
      <w:hyperlink r:id="rId9">
        <w:r>
          <w:rPr>
            <w:color w:val="0000EE"/>
            <w:u w:val="single"/>
          </w:rPr>
          <w:t>[1]</w:t>
        </w:r>
      </w:hyperlink>
      <w:hyperlink r:id="rId11">
        <w:r>
          <w:rPr>
            <w:color w:val="0000EE"/>
            <w:u w:val="single"/>
          </w:rPr>
          <w:t>[2]</w:t>
        </w:r>
      </w:hyperlink>
      <w:hyperlink r:id="rId14">
        <w:r>
          <w:rPr>
            <w:color w:val="0000EE"/>
            <w:u w:val="single"/>
          </w:rPr>
          <w:t>[5]</w:t>
        </w:r>
      </w:hyperlink>
      <w:hyperlink r:id="rId12">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(Teradata insights) - Paragraph 1, Paragraph 2, Paragraph 3, Paragraph 4, Paragraph 5, Paragraph 6, Paragraph 7, Paragraph 8 </w:t>
      </w:r>
      <w:r/>
    </w:p>
    <w:p>
      <w:pPr>
        <w:pStyle w:val="ListBullet"/>
        <w:spacing w:line="240" w:lineRule="auto"/>
        <w:ind w:left="720"/>
      </w:pPr>
      <w:r/>
      <w:hyperlink r:id="rId11">
        <w:r>
          <w:rPr>
            <w:color w:val="0000EE"/>
            <w:u w:val="single"/>
          </w:rPr>
          <w:t>[2]</w:t>
        </w:r>
      </w:hyperlink>
      <w:r>
        <w:t xml:space="preserve"> (Teradata press release) - Paragraph 1, Paragraph 5, Paragraph 8 </w:t>
      </w:r>
      <w:r/>
    </w:p>
    <w:p>
      <w:pPr>
        <w:pStyle w:val="ListBullet"/>
        <w:spacing w:line="240" w:lineRule="auto"/>
        <w:ind w:left="720"/>
      </w:pPr>
      <w:r/>
      <w:hyperlink r:id="rId10">
        <w:r>
          <w:rPr>
            <w:color w:val="0000EE"/>
            <w:u w:val="single"/>
          </w:rPr>
          <w:t>[3]</w:t>
        </w:r>
      </w:hyperlink>
      <w:r>
        <w:t xml:space="preserve"> (Teradata FAQ) - Paragraph 1, Paragraph 2, Paragraph 3, Paragraph 7 </w:t>
      </w:r>
      <w:r/>
    </w:p>
    <w:p>
      <w:pPr>
        <w:pStyle w:val="ListBullet"/>
        <w:spacing w:line="240" w:lineRule="auto"/>
        <w:ind w:left="720"/>
      </w:pPr>
      <w:r/>
      <w:hyperlink r:id="rId13">
        <w:r>
          <w:rPr>
            <w:color w:val="0000EE"/>
            <w:u w:val="single"/>
          </w:rPr>
          <w:t>[4]</w:t>
        </w:r>
      </w:hyperlink>
      <w:r>
        <w:t xml:space="preserve"> (Teradata events) - Paragraph 4, Paragraph 7 </w:t>
      </w:r>
      <w:r/>
    </w:p>
    <w:p>
      <w:pPr>
        <w:pStyle w:val="ListBullet"/>
        <w:spacing w:line="240" w:lineRule="auto"/>
        <w:ind w:left="720"/>
      </w:pPr>
      <w:r/>
      <w:hyperlink r:id="rId14">
        <w:r>
          <w:rPr>
            <w:color w:val="0000EE"/>
            <w:u w:val="single"/>
          </w:rPr>
          <w:t>[5]</w:t>
        </w:r>
      </w:hyperlink>
      <w:r>
        <w:t xml:space="preserve"> (Business Wire) - Paragraph 5, Paragraph 8 </w:t>
      </w:r>
      <w:r/>
    </w:p>
    <w:p>
      <w:pPr>
        <w:pStyle w:val="ListBullet"/>
        <w:spacing w:line="240" w:lineRule="auto"/>
        <w:ind w:left="720"/>
      </w:pPr>
      <w:r/>
      <w:hyperlink r:id="rId15">
        <w:r>
          <w:rPr>
            <w:color w:val="0000EE"/>
            <w:u w:val="single"/>
          </w:rPr>
          <w:t>[6]</w:t>
        </w:r>
      </w:hyperlink>
      <w:r>
        <w:t xml:space="preserve"> (ITdigest) - Paragraph 6, Paragraph 7 </w:t>
      </w:r>
      <w:r/>
    </w:p>
    <w:p>
      <w:pPr>
        <w:pStyle w:val="ListBullet"/>
        <w:spacing w:line="240" w:lineRule="auto"/>
        <w:ind w:left="720"/>
      </w:pPr>
      <w:r/>
      <w:hyperlink r:id="rId12">
        <w:r>
          <w:rPr>
            <w:color w:val="0000EE"/>
            <w:u w:val="single"/>
          </w:rPr>
          <w:t>[7]</w:t>
        </w:r>
      </w:hyperlink>
      <w:r>
        <w:t xml:space="preserve"> (Teradata.jp AI architecture) - Paragraph 3,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https://www.teradata.com/insights/ai-and-machine-learning/building-autonomous-customer-intelligence</w:t>
        </w:r>
      </w:hyperlink>
      <w:r>
        <w:t xml:space="preserve"> - Please view link - unable to able to access data</w:t>
      </w:r>
      <w:r/>
    </w:p>
    <w:p>
      <w:pPr>
        <w:pStyle w:val="ListNumber"/>
        <w:spacing w:line="240" w:lineRule="auto"/>
        <w:ind w:left="720"/>
      </w:pPr>
      <w:r/>
      <w:hyperlink r:id="rId11">
        <w:r>
          <w:rPr>
            <w:color w:val="0000EE"/>
            <w:u w:val="single"/>
          </w:rPr>
          <w:t>https://www.teradata.com/press-releases/2025/autonomous-customer-intelligence</w:t>
        </w:r>
      </w:hyperlink>
      <w:r>
        <w:t xml:space="preserve"> - Teradata has introduced Autonomous Customer Intelligence, a software and services offering designed to transform raw data and customer signals into context-aware, real-time actions at scale. This enhancement embeds agents throughout the entire process—from constructing data products to detecting signals, interpreting context, and activating autonomous responses across hybrid infrastructure. Powered by four decades of Teradata's intellectual property and industry knowledge, these agents aim to autonomously generate business value from meaningful customer signals. The initial focus is on Customer Lifetime Value (CLV), proactively increasing value through real-time signals specific to customers, enabling organizations to engage, retain, and grow their most valuable relationships.</w:t>
      </w:r>
      <w:r/>
    </w:p>
    <w:p>
      <w:pPr>
        <w:pStyle w:val="ListNumber"/>
        <w:spacing w:line="240" w:lineRule="auto"/>
        <w:ind w:left="720"/>
      </w:pPr>
      <w:r/>
      <w:hyperlink r:id="rId10">
        <w:r>
          <w:rPr>
            <w:color w:val="0000EE"/>
            <w:u w:val="single"/>
          </w:rPr>
          <w:t>https://www.teradata.com/solutions/customer-experience/teradata-customer-intelligence-framework-faq</w:t>
        </w:r>
      </w:hyperlink>
      <w:r>
        <w:t xml:space="preserve"> - The Teradata Customer Intelligence Framework is a strategic architecture that transforms raw data into real-time, actionable intelligence, enabling autonomous decision-making by detecting, interpreting, and activating customer signals across the enterprise using AI-ready data products, scalable models, and application-layer integration. It addresses challenges such as fragmented data across channels, friction in customer journeys leading to higher costs, and the inability to act in real time, limiting responsiveness and personalization. The framework comprises core components like Data Products, Signals, and Agents, each playing a crucial role in operationalizing customer intelligence.</w:t>
      </w:r>
      <w:r/>
    </w:p>
    <w:p>
      <w:pPr>
        <w:pStyle w:val="ListNumber"/>
        <w:spacing w:line="240" w:lineRule="auto"/>
        <w:ind w:left="720"/>
      </w:pPr>
      <w:r/>
      <w:hyperlink r:id="rId13">
        <w:r>
          <w:rPr>
            <w:color w:val="0000EE"/>
            <w:u w:val="single"/>
          </w:rPr>
          <w:t>https://www.teradata.com/events/autonomous-customer-intelligence</w:t>
        </w:r>
      </w:hyperlink>
      <w:r>
        <w:t xml:space="preserve"> - Teradata's Autonomous Customer Intelligence framework is designed to empower enterprises to deliver highly personalized experiences at scale by seamlessly connecting insights, signals, and actions. It includes Vantage Customer Experience (VCX) to unify data and orchestrate hyper-personalized journeys across channels, driving measurable business impact. The framework addresses challenges such as fragmented data, disconnected systems, and lack of contextual understanding, which hinder the effectiveness of AI agents and marketing campaigns. By embedding agents throughout the entire process—from constructing data products to detecting signals, interpreting context, and activating autonomous responses—it aims to transform raw data and customer signals into context-aware, real-time actions.</w:t>
      </w:r>
      <w:r/>
    </w:p>
    <w:p>
      <w:pPr>
        <w:pStyle w:val="ListNumber"/>
        <w:spacing w:line="240" w:lineRule="auto"/>
        <w:ind w:left="720"/>
      </w:pPr>
      <w:r/>
      <w:hyperlink r:id="rId14">
        <w:r>
          <w:rPr>
            <w:color w:val="0000EE"/>
            <w:u w:val="single"/>
          </w:rPr>
          <w:t>https://www.businesswire.com/news/home/20251007269561/en/Teradata-Unveils-Autonomous-Customer-Intelligence</w:t>
        </w:r>
      </w:hyperlink>
      <w:r>
        <w:t xml:space="preserve"> - Teradata has unveiled Autonomous Customer Intelligence, a software and services offering designed to transform raw data and customer signals into context-aware, real-time actions at scale. This enhancement embeds agents throughout the entire process—from constructing data products to detecting signals, interpreting context, and activating autonomous responses across hybrid infrastructure. Powered by four decades of Teradata's intellectual property and industry knowledge, these agents aim to autonomously generate business value from meaningful customer signals. The initial focus is on Customer Lifetime Value (CLV), proactively increasing value through real-time signals specific to customers, enabling organizations to engage, retain, and grow their most valuable relationships.</w:t>
      </w:r>
      <w:r/>
    </w:p>
    <w:p>
      <w:pPr>
        <w:pStyle w:val="ListNumber"/>
        <w:spacing w:line="240" w:lineRule="auto"/>
        <w:ind w:left="720"/>
      </w:pPr>
      <w:r/>
      <w:hyperlink r:id="rId15">
        <w:r>
          <w:rPr>
            <w:color w:val="0000EE"/>
            <w:u w:val="single"/>
          </w:rPr>
          <w:t>https://itdigest.com/information-communications-technology/software-and-services/teradata-launches-autonomous-customer-intelligence/</w:t>
        </w:r>
      </w:hyperlink>
      <w:r>
        <w:t xml:space="preserve"> - Teradata's Autonomous Customer Intelligence framework is designed to empower enterprises to deliver highly personalized experiences at scale by seamlessly connecting insights, signals, and actions. It includes Vantage Customer Experience (VCX) to unify data and orchestrate hyper-personalized journeys across channels, driving measurable business impact. The framework addresses challenges such as fragmented data, disconnected systems, and lack of contextual understanding, which hinder the effectiveness of AI agents and marketing campaigns. By embedding agents throughout the entire process—from constructing data products to detecting signals, interpreting context, and activating autonomous responses—it aims to transform raw data and customer signals into context-aware, real-time actions.</w:t>
      </w:r>
      <w:r/>
    </w:p>
    <w:p>
      <w:pPr>
        <w:pStyle w:val="ListNumber"/>
        <w:spacing w:line="240" w:lineRule="auto"/>
        <w:ind w:left="720"/>
      </w:pPr>
      <w:r/>
      <w:hyperlink r:id="rId12">
        <w:r>
          <w:rPr>
            <w:color w:val="0000EE"/>
            <w:u w:val="single"/>
          </w:rPr>
          <w:t>https://www.teradata.jp/insights/data-architecture/ai-data-architecture</w:t>
        </w:r>
      </w:hyperlink>
      <w:r>
        <w:t xml:space="preserve"> - AI data architecture is the integrated framework that governs how data is ingested, processed, stored, and managed to support artificial intelligence applications. Unlike traditional data systems designed primarily for historical reporting, AI data architecture must support real-time and batch data processing, structured, semi-structured, and unstructured data, automated machine learning pipelines, and enterprise-grade governance and security. A critical evolution within this framework is the AI factory architecture—a repeatable, scalable model that orchestrates the lifecycle of AI from data acquisition to model deployment and monitoring. Think of it as the 'assembly line' for enterprise AI, where governance, performance, and adaptability are built in by design.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radata.com/insights/ai-and-machine-learning/building-autonomous-customer-intelligence" TargetMode="External"/><Relationship Id="rId10" Type="http://schemas.openxmlformats.org/officeDocument/2006/relationships/hyperlink" Target="https://www.teradata.com/solutions/customer-experience/teradata-customer-intelligence-framework-faq" TargetMode="External"/><Relationship Id="rId11" Type="http://schemas.openxmlformats.org/officeDocument/2006/relationships/hyperlink" Target="https://www.teradata.com/press-releases/2025/autonomous-customer-intelligence" TargetMode="External"/><Relationship Id="rId12" Type="http://schemas.openxmlformats.org/officeDocument/2006/relationships/hyperlink" Target="https://www.teradata.jp/insights/data-architecture/ai-data-architecture" TargetMode="External"/><Relationship Id="rId13" Type="http://schemas.openxmlformats.org/officeDocument/2006/relationships/hyperlink" Target="https://www.teradata.com/events/autonomous-customer-intelligence" TargetMode="External"/><Relationship Id="rId14" Type="http://schemas.openxmlformats.org/officeDocument/2006/relationships/hyperlink" Target="https://www.businesswire.com/news/home/20251007269561/en/Teradata-Unveils-Autonomous-Customer-Intelligence" TargetMode="External"/><Relationship Id="rId15" Type="http://schemas.openxmlformats.org/officeDocument/2006/relationships/hyperlink" Target="https://itdigest.com/information-communications-technology/software-and-services/teradata-launches-autonomous-customer-intellig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