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IBM unveils open-source CUGA framework to advance enterprise multi-agent automation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IBM Research this week published the open‑source Configurable Generalist Agent, or CUGA, a modular multi‑agent framework that aims to automate complex enterprise workflows by orchestrating specialised agents, integrating APIs and generating code. According to the original report, the project is presented on HuggingFace and accompanied by a research paper that frames CUGA as "a generalist agent that can be adapted and configured by knowledge workers to perform routine or complex aspects of their work in a safe and trustworthy manner." </w:t>
      </w:r>
      <w:hyperlink r:id="rId9">
        <w:r>
          <w:rPr>
            <w:color w:val="0000EE"/>
            <w:u w:val="single"/>
          </w:rPr>
          <w:t>[1]</w:t>
        </w:r>
      </w:hyperlink>
      <w:hyperlink r:id="rId10">
        <w:r>
          <w:rPr>
            <w:color w:val="0000EE"/>
            <w:u w:val="single"/>
          </w:rPr>
          <w:t>[3]</w:t>
        </w:r>
      </w:hyperlink>
      <w:r/>
    </w:p>
    <w:p>
      <w:r/>
      <w:r>
        <w:t xml:space="preserve">CUGA's architecture centres on a Plan Controller Agent that decomposes a user's intent into structured subtasks, tracks them in a dynamic task ledger and re‑plans when steps fail, while delegating execution to Plan‑Execute Agents, browser agents for UI work, API agents for structured calls and custom agents where needed. IBM's blog describes short‑term memory, reflection loops and variable management inside those executors, and a context enrichment layer intended to give planners actionable, policy‑aligned instructions. The company says this layered design is intended to maintain consistency, recover from failures and scale across diverse enterprise applications. </w:t>
      </w:r>
      <w:hyperlink r:id="rId10">
        <w:r>
          <w:rPr>
            <w:color w:val="0000EE"/>
            <w:u w:val="single"/>
          </w:rPr>
          <w:t>[3]</w:t>
        </w:r>
      </w:hyperlink>
      <w:r/>
    </w:p>
    <w:p>
      <w:r/>
      <w:r>
        <w:t xml:space="preserve">Performance claims are modest but notable: IBM reports CUGA scored 61.7 percent on the WebArena web‑task benchmark and 48.2 percent on the AppWorld API scenario completion metric, figures that the researchers describe as top‑tier for current agents despite being far from human reliability. The original report cautions that such scores "are sufficiently poor to get a human worker fired", underscoring the gulf that remains between experimental automation and dependable production behaviour. Industry benchmarking reviewed by IBM and third‑party commentators also highlights how metric choice and policy constraints materially affect real‑world utility. </w:t>
      </w:r>
      <w:hyperlink r:id="rId9">
        <w:r>
          <w:rPr>
            <w:color w:val="0000EE"/>
            <w:u w:val="single"/>
          </w:rPr>
          <w:t>[1]</w:t>
        </w:r>
      </w:hyperlink>
      <w:hyperlink r:id="rId11">
        <w:r>
          <w:rPr>
            <w:color w:val="0000EE"/>
            <w:u w:val="single"/>
          </w:rPr>
          <w:t>[7]</w:t>
        </w:r>
      </w:hyperlink>
      <w:r/>
    </w:p>
    <w:p>
      <w:r/>
      <w:r>
        <w:t xml:space="preserve">That caveat is borne out by other IBM research. A separate, company‑developed benchmark, WebAgentBench, reported much lower policy‑compliant completion rates for several tested agents, with average raw completion at 24.4 percent and policy‑compliant completions falling to 15 percent overall and just 7.1 percent when five or more policies applied. IBM researchers argue that "enterprise workflows often layer dozens of concurrent policies, suggesting that the real‑world shortfall will be even more pronounced and that policy‑robust optimization, not just raw completion, must become the focal objective." Those results underline that high raw completion on one benchmark does not guarantee safe, policy‑aware operation in typical enterprise environments. </w:t>
      </w:r>
      <w:hyperlink r:id="rId9">
        <w:r>
          <w:rPr>
            <w:color w:val="0000EE"/>
            <w:u w:val="single"/>
          </w:rPr>
          <w:t>[1]</w:t>
        </w:r>
      </w:hyperlink>
      <w:r/>
    </w:p>
    <w:p>
      <w:r/>
      <w:r>
        <w:t xml:space="preserve">CUGA is being released under an Apache 2.0 licence and the project repository includes configuration files, instructions for secure sandboxing via Docker or Podman, and guidance on tuning reasoning and task modes so organisations can customise behaviour to their needs. The GitHub project and IBM’s documentation emphasise integrations with Langflow for low‑code visual design and support for a range of open models such as gpt-oss-120b and Llama‑4‑Maverick‑17B‑128E‑Instruct‑fp8, while IBM also promotes commercial counterparts for customers through offerings such as watsonx Orchestrate and agent builders. </w:t>
      </w:r>
      <w:hyperlink r:id="rId12">
        <w:r>
          <w:rPr>
            <w:color w:val="0000EE"/>
            <w:u w:val="single"/>
          </w:rPr>
          <w:t>[2]</w:t>
        </w:r>
      </w:hyperlink>
      <w:hyperlink r:id="rId13">
        <w:r>
          <w:rPr>
            <w:color w:val="0000EE"/>
            <w:u w:val="single"/>
          </w:rPr>
          <w:t>[5]</w:t>
        </w:r>
      </w:hyperlink>
      <w:r/>
    </w:p>
    <w:p>
      <w:r/>
      <w:r>
        <w:t xml:space="preserve">Enterprise adoption will also be shaped by competing views on agent risk and value. IT consultancy Gartner has recently recommended blocking agentic browsers and warned that many agent projects may be cancelled for lack of business value, a scepticism echoed in sections of the research community and vendor ecosystem. IBM and others counter that toolkits such as ALTK (Agent Lifecycle Toolkit) and modular gateways can help enforce lifecycle controls and policies without modifying agent core logic, enabling safer experimentation and policy enforcement at scale. </w:t>
      </w:r>
      <w:hyperlink r:id="rId9">
        <w:r>
          <w:rPr>
            <w:color w:val="0000EE"/>
            <w:u w:val="single"/>
          </w:rPr>
          <w:t>[1]</w:t>
        </w:r>
      </w:hyperlink>
      <w:hyperlink r:id="rId14">
        <w:r>
          <w:rPr>
            <w:color w:val="0000EE"/>
            <w:u w:val="single"/>
          </w:rPr>
          <w:t>[6]</w:t>
        </w:r>
      </w:hyperlink>
      <w:r/>
    </w:p>
    <w:p>
      <w:r/>
      <w:r>
        <w:t xml:space="preserve">Practical deployments and third‑party pilots paint a more positive operational picture in specific, constrained uses. A review of an internal pilot within IBM's BPO Talent Acquisition group reported improvements in time‑to‑answer, reproducibility and response quality across a set of read‑only analytics tasks, suggesting CUGA‑style agents can deliver value as decision‑support tools when scope and data provenance are tightly controlled. Even so, early adopters should expect rough edges, public issue trackers already list bugs such as agents failing to exit run loops, and must plan for substantial monitoring, sandboxing and governance. </w:t>
      </w:r>
      <w:hyperlink r:id="rId11">
        <w:r>
          <w:rPr>
            <w:color w:val="0000EE"/>
            <w:u w:val="single"/>
          </w:rPr>
          <w:t>[7]</w:t>
        </w:r>
      </w:hyperlink>
      <w:hyperlink r:id="rId9">
        <w:r>
          <w:rPr>
            <w:color w:val="0000EE"/>
            <w:u w:val="single"/>
          </w:rPr>
          <w:t>[1]</w:t>
        </w:r>
      </w:hyperlink>
      <w:r/>
    </w:p>
    <w:p>
      <w:r/>
      <w:r>
        <w:t xml:space="preserve">CUGA therefore represents a pragmatic step forward: an open, configurable framework that crystallises current best practice in multi‑agent orchestration and developer tooling, while also exposing the limitations that continue to constrain enterprise automation. The company said in a statement that the project is intended both as a research platform and a building block for production offerings, but industry data and IBM's own benchmarks make clear that improving policy‑robustness, safety and measurable business value will be the decisive work ahead. </w:t>
      </w:r>
      <w:hyperlink r:id="rId10">
        <w:r>
          <w:rPr>
            <w:color w:val="0000EE"/>
            <w:u w:val="single"/>
          </w:rPr>
          <w:t>[3]</w:t>
        </w:r>
      </w:hyperlink>
      <w:hyperlink r:id="rId9">
        <w:r>
          <w:rPr>
            <w:color w:val="0000EE"/>
            <w:u w:val="single"/>
          </w:rPr>
          <w:t>[1]</w:t>
        </w:r>
      </w:hyperlink>
      <w:hyperlink r:id="rId13">
        <w:r>
          <w:rPr>
            <w:color w:val="0000EE"/>
            <w:u w:val="single"/>
          </w:rPr>
          <w:t>[5]</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(The Register) - Paragraph 1, Paragraph 3, Paragraph 4, Paragraph 6, Paragraph 7, Paragraph 8 </w:t>
      </w:r>
      <w:r/>
    </w:p>
    <w:p>
      <w:pPr>
        <w:pStyle w:val="ListBullet"/>
        <w:spacing w:line="240" w:lineRule="auto"/>
        <w:ind w:left="720"/>
      </w:pPr>
      <w:r/>
      <w:hyperlink r:id="rId12">
        <w:r>
          <w:rPr>
            <w:color w:val="0000EE"/>
            <w:u w:val="single"/>
          </w:rPr>
          <w:t>[2]</w:t>
        </w:r>
      </w:hyperlink>
      <w:r>
        <w:t xml:space="preserve"> (GitHub: cuga‑project) - Paragraph 5 </w:t>
      </w:r>
      <w:r/>
    </w:p>
    <w:p>
      <w:pPr>
        <w:pStyle w:val="ListBullet"/>
        <w:spacing w:line="240" w:lineRule="auto"/>
        <w:ind w:left="720"/>
      </w:pPr>
      <w:r/>
      <w:hyperlink r:id="rId10">
        <w:r>
          <w:rPr>
            <w:color w:val="0000EE"/>
            <w:u w:val="single"/>
          </w:rPr>
          <w:t>[3]</w:t>
        </w:r>
      </w:hyperlink>
      <w:r>
        <w:t xml:space="preserve"> (IBM Research blog) - Paragraph 2, Paragraph 8 </w:t>
      </w:r>
      <w:r/>
    </w:p>
    <w:p>
      <w:pPr>
        <w:pStyle w:val="ListBullet"/>
        <w:spacing w:line="240" w:lineRule="auto"/>
        <w:ind w:left="720"/>
      </w:pPr>
      <w:r/>
      <w:hyperlink r:id="rId13">
        <w:r>
          <w:rPr>
            <w:color w:val="0000EE"/>
            <w:u w:val="single"/>
          </w:rPr>
          <w:t>[5]</w:t>
        </w:r>
      </w:hyperlink>
      <w:r>
        <w:t xml:space="preserve"> (IBM watsonx Orchestrate) - Paragraph 5, Paragraph 8 </w:t>
      </w:r>
      <w:r/>
    </w:p>
    <w:p>
      <w:pPr>
        <w:pStyle w:val="ListBullet"/>
        <w:spacing w:line="240" w:lineRule="auto"/>
        <w:ind w:left="720"/>
      </w:pPr>
      <w:r/>
      <w:hyperlink r:id="rId14">
        <w:r>
          <w:rPr>
            <w:color w:val="0000EE"/>
            <w:u w:val="single"/>
          </w:rPr>
          <w:t>[6]</w:t>
        </w:r>
      </w:hyperlink>
      <w:r>
        <w:t xml:space="preserve"> (IBM Research: ALTK) - Paragraph 6 </w:t>
      </w:r>
      <w:r/>
    </w:p>
    <w:p>
      <w:pPr>
        <w:pStyle w:val="ListBullet"/>
        <w:spacing w:line="240" w:lineRule="auto"/>
        <w:ind w:left="720"/>
      </w:pPr>
      <w:r/>
      <w:hyperlink r:id="rId11">
        <w:r>
          <w:rPr>
            <w:color w:val="0000EE"/>
            <w:u w:val="single"/>
          </w:rPr>
          <w:t>[7]</w:t>
        </w:r>
      </w:hyperlink>
      <w:r>
        <w:t xml:space="preserve"> (The Moonlight review) - Paragraph 3,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https://www.theregister.com/2025/12/15/ibm_cuga_agent/</w:t>
        </w:r>
      </w:hyperlink>
      <w:r>
        <w:t xml:space="preserve"> - Please view link - unable to able to access data</w:t>
      </w:r>
      <w:r/>
    </w:p>
    <w:p>
      <w:pPr>
        <w:pStyle w:val="ListNumber"/>
        <w:spacing w:line="240" w:lineRule="auto"/>
        <w:ind w:left="720"/>
      </w:pPr>
      <w:r/>
      <w:hyperlink r:id="rId12">
        <w:r>
          <w:rPr>
            <w:color w:val="0000EE"/>
            <w:u w:val="single"/>
          </w:rPr>
          <w:t>https://github.com/cuga-project/cuga-agent</w:t>
        </w:r>
      </w:hyperlink>
      <w:r>
        <w:t xml:space="preserve"> - The CUGA Agent GitHub repository provides the source code for IBM's Configurable Generalist Agent, an open-source AI agent designed to automate complex enterprise workflows. It supports multi-agent orchestration, API integration, and code generation on enterprise demo applications. The repository includes configuration files for various models and instructions for setting up a secure code sandbox using Docker or Podman containers. It also offers guidance on configuring reasoning modes and task modes, allowing users to tailor the agent's performance to specific needs.</w:t>
      </w:r>
      <w:r/>
    </w:p>
    <w:p>
      <w:pPr>
        <w:pStyle w:val="ListNumber"/>
        <w:spacing w:line="240" w:lineRule="auto"/>
        <w:ind w:left="720"/>
      </w:pPr>
      <w:r/>
      <w:hyperlink r:id="rId10">
        <w:r>
          <w:rPr>
            <w:color w:val="0000EE"/>
            <w:u w:val="single"/>
          </w:rPr>
          <w:t>https://research.ibm.com/blog/cuga-agent-framework</w:t>
        </w:r>
      </w:hyperlink>
      <w:r>
        <w:t xml:space="preserve"> - IBM Research introduces CUGA, a modular, multi-layer, multi-agent system designed to handle complex, long-horizon tasks across web and API environments. At its core is a Plan Controller Agent that decomposes user intents into structured sub-tasks, tracks their execution states, and orchestrates workflows. These sub-tasks are delegated to specialized Plan-Execute Agents—browser agents for UI interactions, API agents for structured application calls, and custom agents—each equipped with short-term memory, reflection mechanisms, and variable management. The system coordinates the state of the agent orchestration, while a context enrichment layer ensures planners receive actionable, policy-aligned instructions. This layered design enables CUGA to maintain consistency, recover from failures, and scale across diverse enterprise applications.</w:t>
      </w:r>
      <w:r/>
    </w:p>
    <w:p>
      <w:pPr>
        <w:pStyle w:val="ListNumber"/>
        <w:spacing w:line="240" w:lineRule="auto"/>
        <w:ind w:left="720"/>
      </w:pPr>
      <w:r/>
      <w:hyperlink r:id="rId16">
        <w:r>
          <w:rPr>
            <w:color w:val="0000EE"/>
            <w:u w:val="single"/>
          </w:rPr>
          <w:t>https://newsroom.ibm.com/2025-10-16-ibm-announces-new-ai-agents-on-oracle-fusion-applications-ai-agent-marketplace</w:t>
        </w:r>
      </w:hyperlink>
      <w:r>
        <w:t xml:space="preserve"> - IBM announces new AI agents available on the Oracle Fusion Applications AI Agent Marketplace. These agents, built with Oracle AI Agent Studio, are designed to help organizations automate processes and common workflows within Oracle Fusion Applications. IBM plans to release complementary agents for Oracle customers built with IBM watsonx Orchestrate for HR and supply chain to help clients across industries transform business processes. The new agents aim to enhance operational efficiency and support enterprise clients in automating complex workflows.</w:t>
      </w:r>
      <w:r/>
    </w:p>
    <w:p>
      <w:pPr>
        <w:pStyle w:val="ListNumber"/>
        <w:spacing w:line="240" w:lineRule="auto"/>
        <w:ind w:left="720"/>
      </w:pPr>
      <w:r/>
      <w:hyperlink r:id="rId13">
        <w:r>
          <w:rPr>
            <w:color w:val="0000EE"/>
            <w:u w:val="single"/>
          </w:rPr>
          <w:t>https://www.ibm.com/products/watsonx-orchestrate/ai-assistant-builder</w:t>
        </w:r>
      </w:hyperlink>
      <w:r>
        <w:t xml:space="preserve"> - IBM's watsonx Orchestrate offers an AI Agent Builder that allows teams to build AI agents tailored to their needs, whether through no-code or code-based approaches. The platform provides a no-code builder for rapid creation and deployment of AI agents, an Agent Development Kit (ADK) for developers to design complex agentic workflows, and integration with Langflow for visual prototyping. AI Gateway enables the selection of the appropriate large language model (LLM) for each use case, offering flexibility without vendor lock-in. The platform aims to simplify the development and deployment of AI agents across various enterprise applications.</w:t>
      </w:r>
      <w:r/>
    </w:p>
    <w:p>
      <w:pPr>
        <w:pStyle w:val="ListNumber"/>
        <w:spacing w:line="240" w:lineRule="auto"/>
        <w:ind w:left="720"/>
      </w:pPr>
      <w:r/>
      <w:hyperlink r:id="rId14">
        <w:r>
          <w:rPr>
            <w:color w:val="0000EE"/>
            <w:u w:val="single"/>
          </w:rPr>
          <w:t>https://research.ibm.com/blog/altk-agent-toolkit</w:t>
        </w:r>
      </w:hyperlink>
      <w:r>
        <w:t xml:space="preserve"> - IBM Research introduces ALTK, the Agent Lifecycle Toolkit, an open-source collection of reusable components designed to support AI agents across various domains. ALTK components can be integrated into agentic pipelines to enhance agent performance, enforce policies, and improve reliability. A notable integration is with the ContextForge MCP Gateway, which allows ALTK components to be configured externally without modifying the agent code. This separation enables teams to experiment with lifecycle enhancements and enforce policies without altering the agent’s core logic, facilitating more flexible and efficient development of AI agents.</w:t>
      </w:r>
      <w:r/>
    </w:p>
    <w:p>
      <w:pPr>
        <w:pStyle w:val="ListNumber"/>
        <w:spacing w:line="240" w:lineRule="auto"/>
        <w:ind w:left="720"/>
      </w:pPr>
      <w:r/>
      <w:hyperlink r:id="rId11">
        <w:r>
          <w:rPr>
            <w:color w:val="0000EE"/>
            <w:u w:val="single"/>
          </w:rPr>
          <w:t>https://www.themoonlight.io/review/from-benchmarks-to-business-impact-deploying-ibm-generalist-agent-in-enterprise-production</w:t>
        </w:r>
      </w:hyperlink>
      <w:r>
        <w:t xml:space="preserve"> - A review discusses the deployment of IBM's generalist agent, CUGA, in enterprise production environments. The review highlights CUGA's performance on benchmarks such as WebArena and AppWorld, where it achieved a 61.7% success rate in completing web tasks and a 48.2% scenario completion rate in evaluating API tasks. The review also details a pilot project within IBM's Business Process Outsourcing (BPO) division for Talent Acquisition, where CUGA was tested on 26 decision-support tasks across 13 read-only analytics endpoints. The results demonstrated significant improvements in time-to-answer, reproducibility, and response quality, showcasing CUGA's potential in real-world enterprise applications.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register.com/2025/12/15/ibm_cuga_agent/" TargetMode="External"/><Relationship Id="rId10" Type="http://schemas.openxmlformats.org/officeDocument/2006/relationships/hyperlink" Target="https://research.ibm.com/blog/cuga-agent-framework" TargetMode="External"/><Relationship Id="rId11" Type="http://schemas.openxmlformats.org/officeDocument/2006/relationships/hyperlink" Target="https://www.themoonlight.io/review/from-benchmarks-to-business-impact-deploying-ibm-generalist-agent-in-enterprise-production" TargetMode="External"/><Relationship Id="rId12" Type="http://schemas.openxmlformats.org/officeDocument/2006/relationships/hyperlink" Target="https://github.com/cuga-project/cuga-agent" TargetMode="External"/><Relationship Id="rId13" Type="http://schemas.openxmlformats.org/officeDocument/2006/relationships/hyperlink" Target="https://www.ibm.com/products/watsonx-orchestrate/ai-assistant-builder" TargetMode="External"/><Relationship Id="rId14" Type="http://schemas.openxmlformats.org/officeDocument/2006/relationships/hyperlink" Target="https://research.ibm.com/blog/altk-agent-toolkit" TargetMode="External"/><Relationship Id="rId15" Type="http://schemas.openxmlformats.org/officeDocument/2006/relationships/hyperlink" Target="https://www.noahwire.com" TargetMode="External"/><Relationship Id="rId16" Type="http://schemas.openxmlformats.org/officeDocument/2006/relationships/hyperlink" Target="https://newsroom.ibm.com/2025-10-16-ibm-announces-new-ai-agents-on-oracle-fusion-applications-ai-agent-marketpla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