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piracy threats in 2024 reshape maritime insurance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When Somali pirates hijacked the Bangladeshi bulk carrier MV Abdullah in March 2024 and held its 23 crew for more than a month until a $5 million ransom secured their release, the episode underscored a persistent hazard at sea: piracy that can rapidly translate into catastrophic human and financial loss for ship owners and investors. According to Reuters reporting, the Abdullah incident formed part of a broader pattern in 2024 in which the International Maritime Bureau recorded 116 incidents of maritime piracy and armed robbery worldwide, with 94 ships boarded and six hijacked. </w:t>
      </w:r>
      <w:hyperlink r:id="rId9">
        <w:r>
          <w:rPr>
            <w:color w:val="0000EE"/>
            <w:u w:val="single"/>
          </w:rPr>
          <w:t>[1]</w:t>
        </w:r>
      </w:hyperlink>
      <w:hyperlink r:id="rId10">
        <w:r>
          <w:rPr>
            <w:color w:val="0000EE"/>
            <w:u w:val="single"/>
          </w:rPr>
          <w:t>[2]</w:t>
        </w:r>
      </w:hyperlink>
      <w:r/>
    </w:p>
    <w:p>
      <w:r/>
      <w:r>
        <w:t xml:space="preserve">Those numbers mask a troubling shift in the nature of incidents: while overall recorded events ticked down slightly from 120 in 2023 to 116 in 2024, the number of seafarers taken hostage rose sharply, from 73 in 2023 to 126 in 2024, prompting repeated warnings from the IMB and industry bodies about the continuing risk to crew safety. The return of Somali piracy tactics , including the use of hijacked vessels as "mother ships" , and reported boardings far offshore have renewed attention on security measures and insurance exposures. </w:t>
      </w:r>
      <w:hyperlink r:id="rId11">
        <w:r>
          <w:rPr>
            <w:color w:val="0000EE"/>
            <w:u w:val="single"/>
          </w:rPr>
          <w:t>[3]</w:t>
        </w:r>
      </w:hyperlink>
      <w:hyperlink r:id="rId12">
        <w:r>
          <w:rPr>
            <w:color w:val="0000EE"/>
            <w:u w:val="single"/>
          </w:rPr>
          <w:t>[6]</w:t>
        </w:r>
      </w:hyperlink>
      <w:hyperlink r:id="rId13">
        <w:r>
          <w:rPr>
            <w:color w:val="0000EE"/>
            <w:u w:val="single"/>
          </w:rPr>
          <w:t>[7]</w:t>
        </w:r>
      </w:hyperlink>
      <w:r/>
    </w:p>
    <w:p>
      <w:r/>
      <w:r>
        <w:t xml:space="preserve">For owners of conventional vessels and for investors holding fractional, tokenised maritime assets, those operational risks translate directly into insurable exposures. The global maritime insurance market , estimated at $30.5 billion in 2024 and projected to swell to $57.8 billion by 2034 , exists to underwrite these exposures across multiple lines, from hull and machinery to cargo, P&amp;I (Protection &amp; Indemnity), and specialised war and piracy covers. Industry analysis stresses that understanding and matching cover to route, flag and vessel profile is no longer optional but central to preserving capital at risk. </w:t>
      </w:r>
      <w:hyperlink r:id="rId9">
        <w:r>
          <w:rPr>
            <w:color w:val="0000EE"/>
            <w:u w:val="single"/>
          </w:rPr>
          <w:t>[4]</w:t>
        </w:r>
      </w:hyperlink>
      <w:r/>
    </w:p>
    <w:p>
      <w:r/>
      <w:r>
        <w:t xml:space="preserve">Marine insurance remains structured around a few enduring pillars. Traditional commercial underwriters typically provide hull and machinery (H&amp;M) and cargo policies; mutual P&amp;I clubs address the open-ended third-party liabilities that commercial markets will not underwrite; and reinsurance markets sit behind both to spread catastrophic losses. Historically rooted in the Lloyd's market, these structures now operate globally and collectively support the bulk of ocean-going tonnage. </w:t>
      </w:r>
      <w:hyperlink r:id="rId9">
        <w:r>
          <w:rPr>
            <w:color w:val="0000EE"/>
            <w:u w:val="single"/>
          </w:rPr>
          <w:t>[1]</w:t>
        </w:r>
      </w:hyperlink>
      <w:hyperlink r:id="rId9">
        <w:r>
          <w:rPr>
            <w:color w:val="0000EE"/>
            <w:u w:val="single"/>
          </w:rPr>
          <w:t>[4]</w:t>
        </w:r>
      </w:hyperlink>
      <w:r/>
    </w:p>
    <w:p>
      <w:r/>
      <w:r>
        <w:t xml:space="preserve">Hull and machinery insurance protects the physical vessel and its propulsion and navigational equipment against perils such as collision, grounding, fire and severe weather. Market data shows ocean hull premiums rose as vessel values and repair costs increased, and insurers now price in inflationary pressures on steel and spare parts that have materially increased claim severity. Total losses , both actual total loss and constructive total loss where repair costs exceed a large percentage of insured value , remain rare by historical standards, but when they occur hull cover is the primary recourse for capital recovery. </w:t>
      </w:r>
      <w:hyperlink r:id="rId9">
        <w:r>
          <w:rPr>
            <w:color w:val="0000EE"/>
            <w:u w:val="single"/>
          </w:rPr>
          <w:t>[4]</w:t>
        </w:r>
      </w:hyperlink>
      <w:r/>
    </w:p>
    <w:p>
      <w:r/>
      <w:r>
        <w:t xml:space="preserve">Marine cargo insurance, which protects goods rather than hulls, represents the single largest segment of the marine market. Cargo policies are commonly written to Institute Cargo Clauses, with Clause A ("all risks") offering the broadest protection, Clause B an intermediate named-perils option, and Clause C a restricted basic cover. The choice of clause materially affects premium, claims burden and ease of settlement: "all risks" simplifies proof of loss by shifting the burden to the insurer to demonstrate an exclusion, while Clauses B and C require claimants to prove a named peril. </w:t>
      </w:r>
      <w:hyperlink r:id="rId9">
        <w:r>
          <w:rPr>
            <w:color w:val="0000EE"/>
            <w:u w:val="single"/>
          </w:rPr>
          <w:t>[4]</w:t>
        </w:r>
      </w:hyperlink>
      <w:r/>
    </w:p>
    <w:p>
      <w:r/>
      <w:r>
        <w:t xml:space="preserve">Protection &amp; Indemnity clubs provide the sector's critical third-party liability backstop , covering crew injury and illness, passenger claims, collision liability, wreck removal, pollution and certain cargo liabilities. The mutual club model means members share costs through annual and supplementary calls; the International Group of P&amp;I Clubs collectively insures roughly 90% of the world's ocean-going tonnage and operates a pooling arrangement for very large claims, spreading severe losses that would overwhelm single clubs. Industry commentators have warned that P&amp;I underwriting results face pressure from rising frequencies and severities of large claims. </w:t>
      </w:r>
      <w:hyperlink r:id="rId9">
        <w:r>
          <w:rPr>
            <w:color w:val="0000EE"/>
            <w:u w:val="single"/>
          </w:rPr>
          <w:t>[4]</w:t>
        </w:r>
      </w:hyperlink>
      <w:r/>
    </w:p>
    <w:p>
      <w:r/>
      <w:r>
        <w:t xml:space="preserve">War risk and piracy coverage has become a major, volatile cost driver for voyages through contested waters. Premiums for transit through high-risk zones surged after the Red Sea incidents of 2023–24 , at times reaching levels that added a percentage point or more of hull value for a short transit , and formal war lists issued by underwriting bodies mean standard policies frequently cease for designated areas, requiring separate endorsements. Piracy-specific extensions, often necessary because standard hull and cargo policies exclude hostile acts, can cover ransom, kidnap and detention costs, loss of earnings and related crew expenses; premiums vary sharply by route, vessel flag and perceived threat profile. </w:t>
      </w:r>
      <w:hyperlink r:id="rId9">
        <w:r>
          <w:rPr>
            <w:color w:val="0000EE"/>
            <w:u w:val="single"/>
          </w:rPr>
          <w:t>[4]</w:t>
        </w:r>
      </w:hyperlink>
      <w:r/>
    </w:p>
    <w:p>
      <w:r/>
      <w:r>
        <w:t xml:space="preserve">Beyond insurance placement, best practice risk management materially reduces both loss frequency and insurance cost. Industry guidance emphasises measures such as adherence to published Best Management Practices when transiting high-risk areas, registration with regional security centres, enhanced lookouts, active AIS protocols and, where appropriate, the deployment of armed security teams for transits through piracy-prone waters. For owners of fractional maritime assets, the underlying vessel's maintenance, crewing and security practices directly influence both the availability and price of cover , and therefore the security of tokenised ownership. </w:t>
      </w:r>
      <w:hyperlink r:id="rId9">
        <w:r>
          <w:rPr>
            <w:color w:val="0000EE"/>
            <w:u w:val="single"/>
          </w:rPr>
          <w:t>[4]</w:t>
        </w:r>
      </w:hyperlink>
      <w:hyperlink r:id="rId11">
        <w:r>
          <w:rPr>
            <w:color w:val="0000EE"/>
            <w:u w:val="single"/>
          </w:rPr>
          <w:t>[3]</w:t>
        </w:r>
      </w:hyperlink>
      <w:r/>
    </w:p>
    <w:p>
      <w:r/>
      <w:r>
        <w:t xml:space="preserve">Maritime insurance therefore functions as the mechanism that converts inherent operational risk into measurable, priced exposure , allowing ownership to remain a calculated commercial proposition rather than pure speculation. The Abdullah hijacking and the broader 2024–25 patterns of piracy and conflict-zone disruption illustrate how crew safety, route selection and political risk feed into underwriting decisions and premium volatility. As the market expands and adapts to evolving threats, aligning comprehensive hull, cargo, P&amp;I and targeted war/piracy coverage with robust operational risk mitigation remains the essential task for anyone with capital at stake in maritime assets. </w:t>
      </w:r>
      <w:hyperlink r:id="rId10">
        <w:r>
          <w:rPr>
            <w:color w:val="0000EE"/>
            <w:u w:val="single"/>
          </w:rPr>
          <w:t>[2]</w:t>
        </w:r>
      </w:hyperlink>
      <w:hyperlink r:id="rId11">
        <w:r>
          <w:rPr>
            <w:color w:val="0000EE"/>
            <w:u w:val="single"/>
          </w:rPr>
          <w:t>[3]</w:t>
        </w:r>
      </w:hyperlink>
      <w:hyperlink r:id="rId9">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(Lead article , Shipfinex) - Paragraph 3, Paragraph 4, Paragraph 5, Paragraph 6, Paragraph 7, Paragraph 9, Paragraph 10 </w:t>
      </w:r>
      <w:r/>
    </w:p>
    <w:p>
      <w:pPr>
        <w:pStyle w:val="ListBullet"/>
        <w:spacing w:line="240" w:lineRule="auto"/>
        <w:ind w:left="720"/>
      </w:pPr>
      <w:r/>
      <w:hyperlink r:id="rId10">
        <w:r>
          <w:rPr>
            <w:color w:val="0000EE"/>
            <w:u w:val="single"/>
          </w:rPr>
          <w:t>[2]</w:t>
        </w:r>
      </w:hyperlink>
      <w:r>
        <w:t xml:space="preserve"> (Reuters) - Paragraph 1, Paragraph 11 </w:t>
      </w:r>
      <w:r/>
    </w:p>
    <w:p>
      <w:pPr>
        <w:pStyle w:val="ListBullet"/>
        <w:spacing w:line="240" w:lineRule="auto"/>
        <w:ind w:left="720"/>
      </w:pPr>
      <w:r/>
      <w:hyperlink r:id="rId11">
        <w:r>
          <w:rPr>
            <w:color w:val="0000EE"/>
            <w:u w:val="single"/>
          </w:rPr>
          <w:t>[3]</w:t>
        </w:r>
      </w:hyperlink>
      <w:r>
        <w:t xml:space="preserve"> (ICCWBO / IMB summary) - Paragraph 2, Paragraph 10 </w:t>
      </w:r>
      <w:r/>
    </w:p>
    <w:p>
      <w:pPr>
        <w:pStyle w:val="ListBullet"/>
        <w:spacing w:line="240" w:lineRule="auto"/>
        <w:ind w:left="720"/>
      </w:pPr>
      <w:r/>
      <w:hyperlink r:id="rId9">
        <w:r>
          <w:rPr>
            <w:color w:val="0000EE"/>
            <w:u w:val="single"/>
          </w:rPr>
          <w:t>[4]</w:t>
        </w:r>
      </w:hyperlink>
      <w:r>
        <w:t xml:space="preserve"> (Shipfinex blog) - Paragraph 3, Paragraph 4, Paragraph 5, Paragraph 6, Paragraph 7, Paragraph 9, Paragraph 10 </w:t>
      </w:r>
      <w:r/>
    </w:p>
    <w:p>
      <w:pPr>
        <w:pStyle w:val="ListBullet"/>
        <w:spacing w:line="240" w:lineRule="auto"/>
        <w:ind w:left="720"/>
      </w:pPr>
      <w:r/>
      <w:hyperlink r:id="rId12">
        <w:r>
          <w:rPr>
            <w:color w:val="0000EE"/>
            <w:u w:val="single"/>
          </w:rPr>
          <w:t>[6]</w:t>
        </w:r>
      </w:hyperlink>
      <w:r>
        <w:t xml:space="preserve"> (Reuters , Ruen report) - Paragraph 2 </w:t>
      </w:r>
      <w:r/>
    </w:p>
    <w:p>
      <w:pPr>
        <w:pStyle w:val="ListBullet"/>
        <w:spacing w:line="240" w:lineRule="auto"/>
        <w:ind w:left="720"/>
      </w:pPr>
      <w:r/>
      <w:hyperlink r:id="rId13">
        <w:r>
          <w:rPr>
            <w:color w:val="0000EE"/>
            <w:u w:val="single"/>
          </w:rPr>
          <w:t>[7]</w:t>
        </w:r>
      </w:hyperlink>
      <w:r>
        <w:t xml:space="preserve"> (Reuters , UKMTO boarding) -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https://www.shipfinex.com/blog/marine-insurance-types-piracy-damage-loss-protection</w:t>
        </w:r>
      </w:hyperlink>
      <w:r>
        <w:t xml:space="preserve"> - Please view link - unable to able to access data</w:t>
      </w:r>
      <w:r/>
    </w:p>
    <w:p>
      <w:pPr>
        <w:pStyle w:val="ListNumber"/>
        <w:spacing w:line="240" w:lineRule="auto"/>
        <w:ind w:left="720"/>
      </w:pPr>
      <w:r/>
      <w:hyperlink r:id="rId10">
        <w:r>
          <w:rPr>
            <w:color w:val="0000EE"/>
            <w:u w:val="single"/>
          </w:rPr>
          <w:t>https://www.reuters.com/world/africa/somali-pirates-say-they-hijacked-ship-mv-abdullah-released-after-5-million-2024-04-14/</w:t>
        </w:r>
      </w:hyperlink>
      <w:r>
        <w:t xml:space="preserve"> - In March 2024, Somali pirates hijacked the Bangladeshi bulk carrier MV Abdullah, holding its 23 crew members hostage. After a $5 million ransom was paid, the ship and crew were released in April 2024. This incident highlights the ongoing threat of piracy in the region, which had been largely dormant since 2018 but has seen a resurgence in recent years. The International Maritime Bureau recorded 116 maritime piracy and armed robbery incidents globally in 2024, with 94 ships boarded and six hijacked.</w:t>
      </w:r>
      <w:r/>
    </w:p>
    <w:p>
      <w:pPr>
        <w:pStyle w:val="ListNumber"/>
        <w:spacing w:line="240" w:lineRule="auto"/>
        <w:ind w:left="720"/>
      </w:pPr>
      <w:r/>
      <w:hyperlink r:id="rId11">
        <w:r>
          <w:rPr>
            <w:color w:val="0000EE"/>
            <w:u w:val="single"/>
          </w:rPr>
          <w:t>https://iccwbo.org/news-publications/news/maritime-piracy-dropped-in-2024-but-crew-safety-remains-at-risk/</w:t>
        </w:r>
      </w:hyperlink>
      <w:r>
        <w:t xml:space="preserve"> - The International Maritime Bureau (IMB) reported a slight decrease in maritime piracy incidents in 2024, recording 116 incidents compared to 120 in 2023. However, the number of crew members taken hostage or kidnapped increased significantly, with 126 individuals taken hostage in 2024 compared to 73 in 2023. The IMB urges continued vigilance to ensure the safety of seafarers, emphasizing that despite the decline in overall incidents, threats to crew safety remain a significant concern.</w:t>
      </w:r>
      <w:r/>
    </w:p>
    <w:p>
      <w:pPr>
        <w:pStyle w:val="ListNumber"/>
        <w:spacing w:line="240" w:lineRule="auto"/>
        <w:ind w:left="720"/>
      </w:pPr>
      <w:r/>
      <w:hyperlink r:id="rId9">
        <w:r>
          <w:rPr>
            <w:color w:val="0000EE"/>
            <w:u w:val="single"/>
          </w:rPr>
          <w:t>https://www.shipfinex.com/blog/marine-insurance-types-piracy-damage-loss-protection</w:t>
        </w:r>
      </w:hyperlink>
      <w:r>
        <w:t xml:space="preserve"> - The global maritime insurance market, valued at $30.5 billion in 2024 and projected to reach $57.8 billion by 2034, addresses vulnerabilities faced by ship owners due to risks like piracy, damage, and total loss. Understanding various marine insurance types is essential for anyone with capital at stake in maritime assets. The article provides a breakdown of critical insurance categories that protect against these risks, explaining how each coverage type functions within the broader risk management framework.</w:t>
      </w:r>
      <w:r/>
    </w:p>
    <w:p>
      <w:pPr>
        <w:pStyle w:val="ListNumber"/>
        <w:spacing w:line="240" w:lineRule="auto"/>
        <w:ind w:left="720"/>
      </w:pPr>
      <w:r/>
      <w:hyperlink r:id="rId15">
        <w:r>
          <w:rPr>
            <w:color w:val="0000EE"/>
            <w:u w:val="single"/>
          </w:rPr>
          <w:t>https://www.ukpandi.com/news-and-resources/news/article/2024-annual-imb-piracy-and-armed-robbery-report/</w:t>
        </w:r>
      </w:hyperlink>
      <w:r>
        <w:t xml:space="preserve"> - The UK P&amp;I Club reports that the International Maritime Bureau (IMB) recorded 116 incidents of piracy and armed robbery against ships in 2024, a slight decrease from 120 in 2023. The report highlights an increase in the number of crew members taken hostage or kidnapped, with 126 individuals taken hostage in 2024 compared to 73 in 2023. The IMB emphasizes the importance of caution to enhance crew safety, despite the overall decrease in reported incidents.</w:t>
      </w:r>
      <w:r/>
    </w:p>
    <w:p>
      <w:pPr>
        <w:pStyle w:val="ListNumber"/>
        <w:spacing w:line="240" w:lineRule="auto"/>
        <w:ind w:left="720"/>
      </w:pPr>
      <w:r/>
      <w:hyperlink r:id="rId12">
        <w:r>
          <w:rPr>
            <w:color w:val="0000EE"/>
            <w:u w:val="single"/>
          </w:rPr>
          <w:t>https://www.reuters.com/world/africa/hijacked-malta-flagged-ship-ruen-spotted-near-somalia-security-firm-says-2024-03-14/</w:t>
        </w:r>
      </w:hyperlink>
      <w:r>
        <w:t xml:space="preserve"> - In March 2024, Somali pirates hijacked the Maltese-flagged ship Ruen in December 2023. The EU naval force EUNAVFOR reported that the hijacked ship was spotted near Somalia, raising concerns that it might be used to launch further attacks. This incident marks the first successful hijacking by Somali pirates since 2017, signaling a resurgence in piracy in the region. The use of hijacked ships as 'motherships' for further attacks indicates a return to tactics seen prior to 2018.</w:t>
      </w:r>
      <w:r/>
    </w:p>
    <w:p>
      <w:pPr>
        <w:pStyle w:val="ListNumber"/>
        <w:spacing w:line="240" w:lineRule="auto"/>
        <w:ind w:left="720"/>
      </w:pPr>
      <w:r/>
      <w:hyperlink r:id="rId13">
        <w:r>
          <w:rPr>
            <w:color w:val="0000EE"/>
            <w:u w:val="single"/>
          </w:rPr>
          <w:t>https://www.reuters.com/world/africa/ukmto-receives-report-boarding-incident-off-somalia-2024-03-12/</w:t>
        </w:r>
      </w:hyperlink>
      <w:r>
        <w:t xml:space="preserve"> - On March 12, 2024, the United Kingdom Maritime Trade Operations (UKMTO) and maritime security firm Ambrey reported an unauthorized boarding of a vessel 600 nautical miles east of Mogadishu, Somalia. The incident involved 20 armed individuals boarding a Bangladesh-flagged bulk carrier en route from Maputo, Mozambique, to Hamriya, United Arab Emirates. While initial reports suggested the crew may have sought refuge in the vessel’s citadel, their exact whereabouts remain uncertain. This event may signal a potential resurgence of Somali piracy in the Indian Ocean.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hipfinex.com/blog/marine-insurance-types-piracy-damage-loss-protection" TargetMode="External"/><Relationship Id="rId10" Type="http://schemas.openxmlformats.org/officeDocument/2006/relationships/hyperlink" Target="https://www.reuters.com/world/africa/somali-pirates-say-they-hijacked-ship-mv-abdullah-released-after-5-million-2024-04-14/" TargetMode="External"/><Relationship Id="rId11" Type="http://schemas.openxmlformats.org/officeDocument/2006/relationships/hyperlink" Target="https://iccwbo.org/news-publications/news/maritime-piracy-dropped-in-2024-but-crew-safety-remains-at-risk/" TargetMode="External"/><Relationship Id="rId12" Type="http://schemas.openxmlformats.org/officeDocument/2006/relationships/hyperlink" Target="https://www.reuters.com/world/africa/hijacked-malta-flagged-ship-ruen-spotted-near-somalia-security-firm-says-2024-03-14/" TargetMode="External"/><Relationship Id="rId13" Type="http://schemas.openxmlformats.org/officeDocument/2006/relationships/hyperlink" Target="https://www.reuters.com/world/africa/ukmto-receives-report-boarding-incident-off-somalia-2024-03-12/" TargetMode="External"/><Relationship Id="rId14" Type="http://schemas.openxmlformats.org/officeDocument/2006/relationships/hyperlink" Target="https://www.noahwire.com" TargetMode="External"/><Relationship Id="rId15" Type="http://schemas.openxmlformats.org/officeDocument/2006/relationships/hyperlink" Target="https://www.ukpandi.com/news-and-resources/news/article/2024-annual-imb-piracy-and-armed-robbery-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