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2025's IT spending surge exposes operational gaps amid AI and cloud acceleration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2025 will be remembered as the most expensive year in the history of enterprise technology, a moment when nearly $4 trillion was committed to cloud, AI infrastructure, modernization and enterprise software , yet the headline number masks two very different realities playing out inside organisations. </w:t>
      </w:r>
      <w:hyperlink r:id="rId9">
        <w:r>
          <w:rPr>
            <w:color w:val="0000EE"/>
            <w:u w:val="single"/>
          </w:rPr>
          <w:t>[1]</w:t>
        </w:r>
      </w:hyperlink>
      <w:hyperlink r:id="rId10">
        <w:r>
          <w:rPr>
            <w:color w:val="0000EE"/>
            <w:u w:val="single"/>
          </w:rPr>
          <w:t>[3]</w:t>
        </w:r>
      </w:hyperlink>
      <w:r/>
    </w:p>
    <w:p>
      <w:r/>
      <w:r>
        <w:t xml:space="preserve">On one side lay a clear vision: boards and C-suites treating AI and cloud as strategic foundations for competitiveness. According to the report by Forrester, global technology spend expanded markedly in 2025, driven by rapid adoption of software, IT services, generative AI and cloud technologies, with Asia Pacific and North America leading the growth. Industry forecasts from Gartner and Goldman Sachs similarly show surging demand for AI compute and cloud capacity, with AI spending alone approaching $1.5 trillion in 2025 and cloud revenues projected to keep rising toward the end of the decade. These signals underpinned the idea that organisations were investing not for short-term optics but to build durable capability at scale. </w:t>
      </w:r>
      <w:hyperlink r:id="rId10">
        <w:r>
          <w:rPr>
            <w:color w:val="0000EE"/>
            <w:u w:val="single"/>
          </w:rPr>
          <w:t>[3]</w:t>
        </w:r>
      </w:hyperlink>
      <w:hyperlink r:id="rId11">
        <w:r>
          <w:rPr>
            <w:color w:val="0000EE"/>
            <w:u w:val="single"/>
          </w:rPr>
          <w:t>[2]</w:t>
        </w:r>
      </w:hyperlink>
      <w:hyperlink r:id="rId12">
        <w:r>
          <w:rPr>
            <w:color w:val="0000EE"/>
            <w:u w:val="single"/>
          </w:rPr>
          <w:t>[6]</w:t>
        </w:r>
      </w:hyperlink>
      <w:r/>
    </w:p>
    <w:p>
      <w:r/>
      <w:r>
        <w:t xml:space="preserve">That investment played out across five observable domains. AI infrastructure saw outsized growth as companies ordered GPU-rich servers, private model-hosting environments and upgraded data pipelines; cloud consumption and managed services expanded with renewed multi-cloud bets; enterprise software purchases increased for AI-enabled apps and observability suites; modernization programmes accelerated migrations and refactoring; and IT outsourcing evolved toward specialised AI engineering pods and managed security services. Gartner data and market commentary indicate server sales and public-cloud spending rose sharply as GenAI moved from proof-of-concept into production planning. </w:t>
      </w:r>
      <w:hyperlink r:id="rId9">
        <w:r>
          <w:rPr>
            <w:color w:val="0000EE"/>
            <w:u w:val="single"/>
          </w:rPr>
          <w:t>[1]</w:t>
        </w:r>
      </w:hyperlink>
      <w:hyperlink r:id="rId13">
        <w:r>
          <w:rPr>
            <w:color w:val="0000EE"/>
            <w:u w:val="single"/>
          </w:rPr>
          <w:t>[4]</w:t>
        </w:r>
      </w:hyperlink>
      <w:hyperlink r:id="rId14">
        <w:r>
          <w:rPr>
            <w:color w:val="0000EE"/>
            <w:u w:val="single"/>
          </w:rPr>
          <w:t>[5]</w:t>
        </w:r>
      </w:hyperlink>
      <w:r/>
    </w:p>
    <w:p>
      <w:r/>
      <w:r>
        <w:t xml:space="preserve">Yet inside engineering, architecture and operations, the lived experience could not be reduced to strategic intent. The second, quieter narrative was one of complexity and constraint: teams confronting a compound transformation where multiple high-impact shifts hit organisations simultaneously. The lead report described how layering of change outpaced organisational capacity, and market reports corroborate that the speed and scale of AI and cloud adoption created operational stress across telemetry, governance and dependency management. </w:t>
      </w:r>
      <w:hyperlink r:id="rId9">
        <w:r>
          <w:rPr>
            <w:color w:val="0000EE"/>
            <w:u w:val="single"/>
          </w:rPr>
          <w:t>[1]</w:t>
        </w:r>
      </w:hyperlink>
      <w:hyperlink r:id="rId11">
        <w:r>
          <w:rPr>
            <w:color w:val="0000EE"/>
            <w:u w:val="single"/>
          </w:rPr>
          <w:t>[2]</w:t>
        </w:r>
      </w:hyperlink>
      <w:r/>
    </w:p>
    <w:p>
      <w:r/>
      <w:r>
        <w:t xml:space="preserve">A recurring operational problem was misaligned velocity: AI began to change work patterns before governance and data maturity kept pace. Organisations poured capital into compute that, in many cases, remained underutilised because data pipelines, quality and lineage were not ready to feed models; Gartner and the Digital.ai analysis both highlight that compute-heavy investments often revealed downstream readiness gaps. At the same time, cloud fragmentation increased the burden of observability and cost control, prompting a shift toward FinOps and rebalancing of workloads between public cloud and on-premises environments. </w:t>
      </w:r>
      <w:hyperlink r:id="rId9">
        <w:r>
          <w:rPr>
            <w:color w:val="0000EE"/>
            <w:u w:val="single"/>
          </w:rPr>
          <w:t>[1]</w:t>
        </w:r>
      </w:hyperlink>
      <w:hyperlink r:id="rId13">
        <w:r>
          <w:rPr>
            <w:color w:val="0000EE"/>
            <w:u w:val="single"/>
          </w:rPr>
          <w:t>[4]</w:t>
        </w:r>
      </w:hyperlink>
      <w:hyperlink r:id="rId14">
        <w:r>
          <w:rPr>
            <w:color w:val="0000EE"/>
            <w:u w:val="single"/>
          </w:rPr>
          <w:t>[5]</w:t>
        </w:r>
      </w:hyperlink>
      <w:r/>
    </w:p>
    <w:p>
      <w:r/>
      <w:r>
        <w:t xml:space="preserve">Interdependencies multiplied as parallel programmes interacted in unpredictable ways. What used to be sequential migrations became webs of cause and effect, where a change in one service altered load profiles, triggered downstream regressions or created new security exposure. The lead analysis observed that organisations struggled to reconcile proliferating telemetry and AI-generated artefacts, a theme echoed across market commentary on rapid GenAI rollouts, which stress the need for stronger integration and validation practices. </w:t>
      </w:r>
      <w:hyperlink r:id="rId9">
        <w:r>
          <w:rPr>
            <w:color w:val="0000EE"/>
            <w:u w:val="single"/>
          </w:rPr>
          <w:t>[1]</w:t>
        </w:r>
      </w:hyperlink>
      <w:hyperlink r:id="rId11">
        <w:r>
          <w:rPr>
            <w:color w:val="0000EE"/>
            <w:u w:val="single"/>
          </w:rPr>
          <w:t>[2]</w:t>
        </w:r>
      </w:hyperlink>
      <w:r/>
    </w:p>
    <w:p>
      <w:r/>
      <w:r>
        <w:t xml:space="preserve">Compounding these pressures, the workforce picture tightened. 2025 saw waves of employment reductions in some tech segments even as workload scope expanded, leaving leaner teams to steward more complex estates. The consequence was a tug-of-war between stabilising legacy operations and delivering transformative projects , a dynamic that forced many organisations to rely on external partners, but also to reassess which capabilities to insource. Goldman Sachs and other industry observers note hyperscalers and vendors increasing capital expenditure to supply the rising demand, but such supply-side investment does not immediately relieve the human and architectural frictions inside customers. </w:t>
      </w:r>
      <w:hyperlink r:id="rId9">
        <w:r>
          <w:rPr>
            <w:color w:val="0000EE"/>
            <w:u w:val="single"/>
          </w:rPr>
          <w:t>[1]</w:t>
        </w:r>
      </w:hyperlink>
      <w:hyperlink r:id="rId12">
        <w:r>
          <w:rPr>
            <w:color w:val="0000EE"/>
            <w:u w:val="single"/>
          </w:rPr>
          <w:t>[6]</w:t>
        </w:r>
      </w:hyperlink>
      <w:hyperlink r:id="rId15">
        <w:r>
          <w:rPr>
            <w:color w:val="0000EE"/>
            <w:u w:val="single"/>
          </w:rPr>
          <w:t>[7]</w:t>
        </w:r>
      </w:hyperlink>
      <w:r/>
    </w:p>
    <w:p>
      <w:r/>
      <w:r>
        <w:t xml:space="preserve">The mismatch between capital committed and immediate operational impact exposes a wider lesson: investment velocity outpaced structural capacity. Adaptive planning, the lead article argues, is the necessary response , planning that treats transformation as continuous, connecting strategic intent to evolving realities across teams, systems and risk surfaces. This approach emphasises real-time interpretation of capacity, dependencies and risk so that leaders can reprioritise with current context rather than rigid roadmaps. Market signals from Gartner and Forrester reinforce the notion that spending alone will not deliver outcomes unless operating models evolve to manage concurrent transformation. </w:t>
      </w:r>
      <w:hyperlink r:id="rId9">
        <w:r>
          <w:rPr>
            <w:color w:val="0000EE"/>
            <w:u w:val="single"/>
          </w:rPr>
          <w:t>[1]</w:t>
        </w:r>
      </w:hyperlink>
      <w:hyperlink r:id="rId13">
        <w:r>
          <w:rPr>
            <w:color w:val="0000EE"/>
            <w:u w:val="single"/>
          </w:rPr>
          <w:t>[4]</w:t>
        </w:r>
      </w:hyperlink>
      <w:hyperlink r:id="rId10">
        <w:r>
          <w:rPr>
            <w:color w:val="0000EE"/>
            <w:u w:val="single"/>
          </w:rPr>
          <w:t>[3]</w:t>
        </w:r>
      </w:hyperlink>
      <w:r/>
    </w:p>
    <w:p>
      <w:r/>
      <w:r>
        <w:t xml:space="preserve">Looking to 2026, the shape of the challenge will persist and intensify: AI adoption is set to deepen and cloud fragmentation will continue, with analyst forecasts projecting AI spend to rise further and public-cloud and server demand remaining strong. The critical question for organisations is less how much they will spend and more how effectively they can integrate those investments into an operating model capable of absorbing compound change , switching from treating transformation as a series of discrete projects to managing it as a single, interconnected reality. </w:t>
      </w:r>
      <w:hyperlink r:id="rId11">
        <w:r>
          <w:rPr>
            <w:color w:val="0000EE"/>
            <w:u w:val="single"/>
          </w:rPr>
          <w:t>[2]</w:t>
        </w:r>
      </w:hyperlink>
      <w:hyperlink r:id="rId13">
        <w:r>
          <w:rPr>
            <w:color w:val="0000EE"/>
            <w:u w:val="single"/>
          </w:rPr>
          <w:t>[4]</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(Digital.ai Catalyst blog) - Paragraph 1, Paragraph 4, Paragraph 5, Paragraph 6, Paragraph 8, Paragraph 9</w:t>
      </w:r>
      <w:r/>
    </w:p>
    <w:p>
      <w:pPr>
        <w:pStyle w:val="ListBullet"/>
        <w:spacing w:line="240" w:lineRule="auto"/>
        <w:ind w:left="720"/>
      </w:pPr>
      <w:r/>
      <w:hyperlink r:id="rId10">
        <w:r>
          <w:rPr>
            <w:color w:val="0000EE"/>
            <w:u w:val="single"/>
          </w:rPr>
          <w:t>[3]</w:t>
        </w:r>
      </w:hyperlink>
      <w:r>
        <w:t xml:space="preserve"> (Forrester press release) - Paragraph 2, Paragraph 8</w:t>
      </w:r>
      <w:r/>
    </w:p>
    <w:p>
      <w:pPr>
        <w:pStyle w:val="ListBullet"/>
        <w:spacing w:line="240" w:lineRule="auto"/>
        <w:ind w:left="720"/>
      </w:pPr>
      <w:r/>
      <w:hyperlink r:id="rId11">
        <w:r>
          <w:rPr>
            <w:color w:val="0000EE"/>
            <w:u w:val="single"/>
          </w:rPr>
          <w:t>[2]</w:t>
        </w:r>
      </w:hyperlink>
      <w:r>
        <w:t xml:space="preserve"> (Gartner press release on AI spending) - Paragraph 2, Paragraph 4, Paragraph 9</w:t>
      </w:r>
      <w:r/>
    </w:p>
    <w:p>
      <w:pPr>
        <w:pStyle w:val="ListBullet"/>
        <w:spacing w:line="240" w:lineRule="auto"/>
        <w:ind w:left="720"/>
      </w:pPr>
      <w:r/>
      <w:hyperlink r:id="rId13">
        <w:r>
          <w:rPr>
            <w:color w:val="0000EE"/>
            <w:u w:val="single"/>
          </w:rPr>
          <w:t>[4]</w:t>
        </w:r>
      </w:hyperlink>
      <w:r>
        <w:t xml:space="preserve"> (Gartner press release on IT spending) - Paragraph 3, Paragraph 8, Paragraph 9</w:t>
      </w:r>
      <w:r/>
    </w:p>
    <w:p>
      <w:pPr>
        <w:pStyle w:val="ListBullet"/>
        <w:spacing w:line="240" w:lineRule="auto"/>
        <w:ind w:left="720"/>
      </w:pPr>
      <w:r/>
      <w:hyperlink r:id="rId14">
        <w:r>
          <w:rPr>
            <w:color w:val="0000EE"/>
            <w:u w:val="single"/>
          </w:rPr>
          <w:t>[5]</w:t>
        </w:r>
      </w:hyperlink>
      <w:r>
        <w:t xml:space="preserve"> (Gartner press release on public cloud spending) - Paragraph 3, Paragraph 5</w:t>
      </w:r>
      <w:r/>
    </w:p>
    <w:p>
      <w:pPr>
        <w:pStyle w:val="ListBullet"/>
        <w:spacing w:line="240" w:lineRule="auto"/>
        <w:ind w:left="720"/>
      </w:pPr>
      <w:r/>
      <w:hyperlink r:id="rId12">
        <w:r>
          <w:rPr>
            <w:color w:val="0000EE"/>
            <w:u w:val="single"/>
          </w:rPr>
          <w:t>[6]</w:t>
        </w:r>
      </w:hyperlink>
      <w:r>
        <w:t xml:space="preserve"> (Goldman Sachs research) - Paragraph 2, Paragraph 7, Paragraph 9</w:t>
      </w:r>
      <w:r/>
    </w:p>
    <w:p>
      <w:pPr>
        <w:pStyle w:val="ListBullet"/>
        <w:spacing w:line="240" w:lineRule="auto"/>
        <w:ind w:left="720"/>
      </w:pPr>
      <w:r/>
      <w:hyperlink r:id="rId15">
        <w:r>
          <w:rPr>
            <w:color w:val="0000EE"/>
            <w:u w:val="single"/>
          </w:rPr>
          <w:t>[7]</w:t>
        </w:r>
      </w:hyperlink>
      <w:r>
        <w:t xml:space="preserve"> (Market reporting on hyperscaler capex)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https://digital.ai/catalyst-blog/two-tales-of-4-trillion-the-reality-behind-2025s-it-spend/</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https://www.gartner.com/en/newsroom/press-releases/2025-09-17-gartner-says-worldwide-ai-spending-will-total-1-point-5-trillion-in-2025</w:t>
        </w:r>
      </w:hyperlink>
      <w:r>
        <w:t xml:space="preserve"> - Gartner forecasts that worldwide spending on AI will total nearly $1.5 trillion in 2025, driven by investments in AI infrastructure expansion and the creation of general-purpose foundation models. This growth is expected to continue, with global AI spending projected to surpass $2 trillion by 2026, as AI becomes increasingly integrated into products and infrastructure.</w:t>
      </w:r>
      <w:r/>
    </w:p>
    <w:p>
      <w:pPr>
        <w:pStyle w:val="ListNumber"/>
        <w:spacing w:line="240" w:lineRule="auto"/>
        <w:ind w:left="720"/>
      </w:pPr>
      <w:r/>
      <w:hyperlink r:id="rId10">
        <w:r>
          <w:rPr>
            <w:color w:val="0000EE"/>
            <w:u w:val="single"/>
          </w:rPr>
          <w:t>https://www.forrester.com/press-newsroom/forrester-global-tech-spend-to-surpass-4-9-trillion-in-2025/</w:t>
        </w:r>
      </w:hyperlink>
      <w:r>
        <w:t xml:space="preserve"> - Forrester projects that global technology spend will grow by 5.6% in 2025 to reach $4.9 trillion, up from $4.7 trillion in 2024. Key growth drivers include the rapid adoption of software, IT services, generative AI, and cloud technologies, with Asia Pacific and North America expected to see the most rapid growth.</w:t>
      </w:r>
      <w:r/>
    </w:p>
    <w:p>
      <w:pPr>
        <w:pStyle w:val="ListNumber"/>
        <w:spacing w:line="240" w:lineRule="auto"/>
        <w:ind w:left="720"/>
      </w:pPr>
      <w:r/>
      <w:hyperlink r:id="rId13">
        <w:r>
          <w:rPr>
            <w:color w:val="0000EE"/>
            <w:u w:val="single"/>
          </w:rPr>
          <w:t>https://www.gartner.com/en/newsroom/press-releases/2024-10-23-gartner-forecasts-worldwide-it-spending-to-grow-nine-point-three-percent-in-2025</w:t>
        </w:r>
      </w:hyperlink>
      <w:r>
        <w:t xml:space="preserve"> - Gartner forecasts that worldwide IT spending will total $5.74 trillion in 2025, an increase of 9.3% from 2024. This growth is driven by investments in generative AI, with CIOs expected to begin spending on GenAI beyond proof-of-concept work starting in 2025. Server sales are projected to nearly triple from 2023 to 2028 due to GenAI demand.</w:t>
      </w:r>
      <w:r/>
    </w:p>
    <w:p>
      <w:pPr>
        <w:pStyle w:val="ListNumber"/>
        <w:spacing w:line="240" w:lineRule="auto"/>
        <w:ind w:left="720"/>
      </w:pPr>
      <w:r/>
      <w:hyperlink r:id="rId14">
        <w:r>
          <w:rPr>
            <w:color w:val="0000EE"/>
            <w:u w:val="single"/>
          </w:rPr>
          <w:t>https://www.gartner.com/en/newsroom/press-releases/2024-05-20-gartner-forecasts-worldwide-public-cloud-end-user-spending-to-surpass-675-billion-in-2024</w:t>
        </w:r>
      </w:hyperlink>
      <w:r>
        <w:t xml:space="preserve"> - Gartner forecasts that worldwide end-user spending on public cloud services will grow 20.4% to total $675.4 billion in 2024, up from $561 billion in 2023. This growth is driven by generative AI and application modernization, with all segments of the cloud market expected to see growth in 2024.</w:t>
      </w:r>
      <w:r/>
    </w:p>
    <w:p>
      <w:pPr>
        <w:pStyle w:val="ListNumber"/>
        <w:spacing w:line="240" w:lineRule="auto"/>
        <w:ind w:left="720"/>
      </w:pPr>
      <w:r/>
      <w:hyperlink r:id="rId12">
        <w:r>
          <w:rPr>
            <w:color w:val="0000EE"/>
            <w:u w:val="single"/>
          </w:rPr>
          <w:t>https://www.goldmansachs.com/insights/articles/cloud-revenues-poised-to-reach-2-trillion-by-2030-amid-ai-rollout</w:t>
        </w:r>
      </w:hyperlink>
      <w:r>
        <w:t xml:space="preserve"> - Goldman Sachs Research projects that cloud computing sales will rise to $2 trillion by the end of the decade, with generative AI accounting for about 10-15% of the spending. The total addressable market for cloud services is expected to expand at a 22% compound annual growth rate from 2024 to 2030.</w:t>
      </w:r>
      <w:r/>
    </w:p>
    <w:p>
      <w:pPr>
        <w:pStyle w:val="ListNumber"/>
        <w:spacing w:line="240" w:lineRule="auto"/>
        <w:ind w:left="720"/>
      </w:pPr>
      <w:r/>
      <w:hyperlink r:id="rId15">
        <w:r>
          <w:rPr>
            <w:color w:val="0000EE"/>
            <w:u w:val="single"/>
          </w:rPr>
          <w:t>https://finance.yahoo.com/news/big-techs-infrastructure-spending-nearly-211211451.html</w:t>
        </w:r>
      </w:hyperlink>
      <w:r>
        <w:t xml:space="preserve"> - U.S. tech giants are preparing to unleash an unprecedented wave of infrastructure spending, with total capital expenditures by hyperscalers projected to nearly triple to $1.4 trillion between 2025 and 2027. This surge is driven by investments in artificial intelligence infrastructure and cloud computing capacity, marking a new phase of competition among Big Tech.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ital.ai/catalyst-blog/two-tales-of-4-trillion-the-reality-behind-2025s-it-spend/" TargetMode="External"/><Relationship Id="rId10" Type="http://schemas.openxmlformats.org/officeDocument/2006/relationships/hyperlink" Target="https://www.forrester.com/press-newsroom/forrester-global-tech-spend-to-surpass-4-9-trillion-in-2025/" TargetMode="External"/><Relationship Id="rId11" Type="http://schemas.openxmlformats.org/officeDocument/2006/relationships/hyperlink" Target="https://www.gartner.com/en/newsroom/press-releases/2025-09-17-gartner-says-worldwide-ai-spending-will-total-1-point-5-trillion-in-2025" TargetMode="External"/><Relationship Id="rId12" Type="http://schemas.openxmlformats.org/officeDocument/2006/relationships/hyperlink" Target="https://www.goldmansachs.com/insights/articles/cloud-revenues-poised-to-reach-2-trillion-by-2030-amid-ai-rollout" TargetMode="External"/><Relationship Id="rId13" Type="http://schemas.openxmlformats.org/officeDocument/2006/relationships/hyperlink" Target="https://www.gartner.com/en/newsroom/press-releases/2024-10-23-gartner-forecasts-worldwide-it-spending-to-grow-nine-point-three-percent-in-2025" TargetMode="External"/><Relationship Id="rId14" Type="http://schemas.openxmlformats.org/officeDocument/2006/relationships/hyperlink" Target="https://www.gartner.com/en/newsroom/press-releases/2024-05-20-gartner-forecasts-worldwide-public-cloud-end-user-spending-to-surpass-675-billion-in-2024" TargetMode="External"/><Relationship Id="rId15" Type="http://schemas.openxmlformats.org/officeDocument/2006/relationships/hyperlink" Target="https://finance.yahoo.com/news/big-techs-infrastructure-spending-nearly-21121145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