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Integrated PSA platforms transform compliance into a scalable managed service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Clients face an increasingly complex regulatory landscape and look to managed service providers (MSPs) to shoulder much of the burden. According to SmarterMSP, a professional services automation (PSA) platform can act as the single source of truth for client information, communications and documentation, turning compliance from a costly chore into a repeatable service offering. </w:t>
      </w:r>
      <w:hyperlink r:id="rId9">
        <w:r>
          <w:rPr>
            <w:color w:val="0000EE"/>
            <w:u w:val="single"/>
          </w:rPr>
          <w:t>[1]</w:t>
        </w:r>
      </w:hyperlink>
      <w:r/>
    </w:p>
    <w:p>
      <w:r/>
      <w:r>
        <w:t xml:space="preserve">Today’s PSA systems have evolved far beyond simple ticketing and billing tools to become central hubs for service delivery, capable of monitoring the full project life cycle and automating core processes. Planview’s PSA guide notes that such platforms centralise data, provide real-time transparency and leverage analytics to improve project delivery, resource management and reporting , all elements that feed stronger compliance outcomes. </w:t>
      </w:r>
      <w:hyperlink r:id="rId10">
        <w:r>
          <w:rPr>
            <w:color w:val="0000EE"/>
            <w:u w:val="single"/>
          </w:rPr>
          <w:t>[3]</w:t>
        </w:r>
      </w:hyperlink>
      <w:r/>
    </w:p>
    <w:p>
      <w:r/>
      <w:r>
        <w:t xml:space="preserve">Standardising compliance playbooks inside the PSA is a practical first step. SmarterMSP recommends using project templates containing predefined tasks, checklists and documentation requirements for frameworks such as CMMC, GDPR and HIPAA, ensuring no step is missed when preparing for audits. CNWR adds that integrating PSAs with managed services tools produces “audit-ready documentation” through continuous monitoring and automated record-keeping, significantly reducing the time and manual effort needed for evidence collection. </w:t>
      </w:r>
      <w:hyperlink r:id="rId9">
        <w:r>
          <w:rPr>
            <w:color w:val="0000EE"/>
            <w:u w:val="single"/>
          </w:rPr>
          <w:t>[1]</w:t>
        </w:r>
      </w:hyperlink>
      <w:hyperlink r:id="rId11">
        <w:r>
          <w:rPr>
            <w:color w:val="0000EE"/>
            <w:u w:val="single"/>
          </w:rPr>
          <w:t>[7]</w:t>
        </w:r>
      </w:hyperlink>
      <w:r/>
    </w:p>
    <w:p>
      <w:r/>
      <w:r>
        <w:t xml:space="preserve">Integrations are the operational glue that make this work. SmarterMSP and Syncro both stress the importance of linking PSA with RMM, CRM, SIEM, EDR, antivirus and patch management systems so alerts, incidents and asset data flow into a single platform. According to Syncro, deep RMM-PSA integration, client-facing reporting and self-service portals enable technicians to act proactively and improve client experience while reducing alert fatigue. </w:t>
      </w:r>
      <w:hyperlink r:id="rId9">
        <w:r>
          <w:rPr>
            <w:color w:val="0000EE"/>
            <w:u w:val="single"/>
          </w:rPr>
          <w:t>[1]</w:t>
        </w:r>
      </w:hyperlink>
      <w:hyperlink r:id="rId12">
        <w:r>
          <w:rPr>
            <w:color w:val="0000EE"/>
            <w:u w:val="single"/>
          </w:rPr>
          <w:t>[4]</w:t>
        </w:r>
      </w:hyperlink>
      <w:r/>
    </w:p>
    <w:p>
      <w:r/>
      <w:r>
        <w:t xml:space="preserve">Beyond detection and ticket creation, integrations should automate identity, KYC and onboarding processes where relevant. Custodian’s client onboarding solution demonstrates how tying identity checks, risk scoring and e-ID signing into automated workflows both enforces Anti-Money Laundering (AML) requirements and creates an audit trail that accelerates revenue capture and reduces compliance friction. For regulated clients, this kind of digitised intake can be decisive. </w:t>
      </w:r>
      <w:hyperlink r:id="rId13">
        <w:r>
          <w:rPr>
            <w:color w:val="0000EE"/>
            <w:u w:val="single"/>
          </w:rPr>
          <w:t>[2]</w:t>
        </w:r>
      </w:hyperlink>
      <w:r/>
    </w:p>
    <w:p>
      <w:r/>
      <w:r>
        <w:t xml:space="preserve">Operational risk is reduced when PSAs deliver visibility and enforceable workflows. Ravetree outlines how PSA dashboards, automated workflows and integrated project accounting strengthen financial controls, forecasting and client communications , lowering the chance of overlooked obligations and billing disputes that can trigger regulatory scrutiny. Planview similarly highlights that configurable workflow automation and analytics support predictable, compliant delivery. </w:t>
      </w:r>
      <w:hyperlink r:id="rId14">
        <w:r>
          <w:rPr>
            <w:color w:val="0000EE"/>
            <w:u w:val="single"/>
          </w:rPr>
          <w:t>[5]</w:t>
        </w:r>
      </w:hyperlink>
      <w:hyperlink r:id="rId10">
        <w:r>
          <w:rPr>
            <w:color w:val="0000EE"/>
            <w:u w:val="single"/>
          </w:rPr>
          <w:t>[3]</w:t>
        </w:r>
      </w:hyperlink>
      <w:r/>
    </w:p>
    <w:p>
      <w:r/>
      <w:r>
        <w:t xml:space="preserve">Practical implementation should begin with prioritisation and incremental change. SmarterMSP advises MSPs to identify the compliance frameworks most relevant to their client base, evaluate integration complexity and consider multiclient dashboards for at-a-glance posture monitoring. CNWR recommends configuring platforms to retain compliance documentation, access logs and incident reports so audit preparation becomes routine rather than reactive. </w:t>
      </w:r>
      <w:hyperlink r:id="rId9">
        <w:r>
          <w:rPr>
            <w:color w:val="0000EE"/>
            <w:u w:val="single"/>
          </w:rPr>
          <w:t>[1]</w:t>
        </w:r>
      </w:hyperlink>
      <w:hyperlink r:id="rId11">
        <w:r>
          <w:rPr>
            <w:color w:val="0000EE"/>
            <w:u w:val="single"/>
          </w:rPr>
          <w:t>[7]</w:t>
        </w:r>
      </w:hyperlink>
      <w:r/>
    </w:p>
    <w:p>
      <w:r/>
      <w:r>
        <w:t xml:space="preserve">For specialist users, knowledge-management integrations add further value. PSA Solutions’ partnership with iManage shows how secure, AI-enabled document and knowledge platforms can protect sensitive information and surface relevant evidence quickly during assessments, a capability that is especially useful for legal and financial clients. The company said the platform enhances productivity while safeguarding vital information assets. </w:t>
      </w:r>
      <w:hyperlink r:id="rId15">
        <w:r>
          <w:rPr>
            <w:color w:val="0000EE"/>
            <w:u w:val="single"/>
          </w:rPr>
          <w:t>[6]</w:t>
        </w:r>
      </w:hyperlink>
      <w:r/>
    </w:p>
    <w:p>
      <w:r/>
      <w:r>
        <w:t xml:space="preserve">When selling compliance-as-a-service, frame it as continuous risk reduction and operational improvement rather than a one-off project. SmarterMSP points to McKinsey research suggesting that modest price changes can materially affect margins, and recommends rethinking contract structures to reflect ongoing monitoring and responsibility for compliance posture. Clear, transparent reporting from the PSA , showing activities, evidence and risk levels , underpins that commercial case. </w:t>
      </w:r>
      <w:hyperlink r:id="rId9">
        <w:r>
          <w:rPr>
            <w:color w:val="0000EE"/>
            <w:u w:val="single"/>
          </w:rPr>
          <w:t>[1]</w:t>
        </w:r>
      </w:hyperlink>
      <w:r/>
    </w:p>
    <w:p>
      <w:r/>
      <w:r>
        <w:t xml:space="preserve">Taken together, these practices show how a well-integrated PSA can convert regulatory obligations into a scalable service line: standardised playbooks and onboarding, broad integrations for real-time evidence, automated audit trails, and dashboards that make posture visible to both MSP and client. Industry guides and vendor solutions alike converge on the same conclusion , with the right platform and disciplined implementation, compliance can become a competitive service that reduces risk and strengthens client relationships. </w:t>
      </w:r>
      <w:hyperlink r:id="rId10">
        <w:r>
          <w:rPr>
            <w:color w:val="0000EE"/>
            <w:u w:val="single"/>
          </w:rPr>
          <w:t>[3]</w:t>
        </w:r>
      </w:hyperlink>
      <w:hyperlink r:id="rId13">
        <w:r>
          <w:rPr>
            <w:color w:val="0000EE"/>
            <w:u w:val="single"/>
          </w:rPr>
          <w:t>[2]</w:t>
        </w:r>
      </w:hyperlink>
      <w:hyperlink r:id="rId12">
        <w:r>
          <w:rPr>
            <w:color w:val="0000EE"/>
            <w:u w:val="single"/>
          </w:rPr>
          <w:t>[4]</w:t>
        </w:r>
      </w:hyperlink>
      <w:hyperlink r:id="rId11">
        <w:r>
          <w:rPr>
            <w:color w:val="0000EE"/>
            <w:u w:val="single"/>
          </w:rPr>
          <w:t>[7]</w:t>
        </w:r>
      </w:hyperlink>
      <w:hyperlink r:id="rId14">
        <w:r>
          <w:rPr>
            <w:color w:val="0000EE"/>
            <w:u w:val="single"/>
          </w:rPr>
          <w:t>[5]</w:t>
        </w:r>
      </w:hyperlink>
      <w:hyperlink r:id="rId15">
        <w:r>
          <w:rPr>
            <w:color w:val="0000EE"/>
            <w:u w:val="single"/>
          </w:rPr>
          <w:t>[6]</w:t>
        </w:r>
      </w:hyperlink>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(SmarterMSP) - Paragraph 1, Paragraph 3, Paragraph 7, Paragraph 9</w:t>
      </w:r>
      <w:r/>
    </w:p>
    <w:p>
      <w:pPr>
        <w:pStyle w:val="ListBullet"/>
        <w:spacing w:line="240" w:lineRule="auto"/>
        <w:ind w:left="720"/>
      </w:pPr>
      <w:r/>
      <w:hyperlink r:id="rId10">
        <w:r>
          <w:rPr>
            <w:color w:val="0000EE"/>
            <w:u w:val="single"/>
          </w:rPr>
          <w:t>[3]</w:t>
        </w:r>
      </w:hyperlink>
      <w:r>
        <w:t xml:space="preserve"> (Planview) - Paragraph 2, Paragraph 6, Paragraph 10</w:t>
      </w:r>
      <w:r/>
    </w:p>
    <w:p>
      <w:pPr>
        <w:pStyle w:val="ListBullet"/>
        <w:spacing w:line="240" w:lineRule="auto"/>
        <w:ind w:left="720"/>
      </w:pPr>
      <w:r/>
      <w:hyperlink r:id="rId11">
        <w:r>
          <w:rPr>
            <w:color w:val="0000EE"/>
            <w:u w:val="single"/>
          </w:rPr>
          <w:t>[7]</w:t>
        </w:r>
      </w:hyperlink>
      <w:r>
        <w:t xml:space="preserve"> (CNWR) - Paragraph 3, Paragraph 7, Paragraph 10</w:t>
      </w:r>
      <w:r/>
    </w:p>
    <w:p>
      <w:pPr>
        <w:pStyle w:val="ListBullet"/>
        <w:spacing w:line="240" w:lineRule="auto"/>
        <w:ind w:left="720"/>
      </w:pPr>
      <w:r/>
      <w:hyperlink r:id="rId12">
        <w:r>
          <w:rPr>
            <w:color w:val="0000EE"/>
            <w:u w:val="single"/>
          </w:rPr>
          <w:t>[4]</w:t>
        </w:r>
      </w:hyperlink>
      <w:r>
        <w:t xml:space="preserve"> (Syncro) - Paragraph 4, Paragraph 10</w:t>
      </w:r>
      <w:r/>
    </w:p>
    <w:p>
      <w:pPr>
        <w:pStyle w:val="ListBullet"/>
        <w:spacing w:line="240" w:lineRule="auto"/>
        <w:ind w:left="720"/>
      </w:pPr>
      <w:r/>
      <w:hyperlink r:id="rId13">
        <w:r>
          <w:rPr>
            <w:color w:val="0000EE"/>
            <w:u w:val="single"/>
          </w:rPr>
          <w:t>[2]</w:t>
        </w:r>
      </w:hyperlink>
      <w:r>
        <w:t xml:space="preserve"> (Custodian) - Paragraph 5, Paragraph 10</w:t>
      </w:r>
      <w:r/>
    </w:p>
    <w:p>
      <w:pPr>
        <w:pStyle w:val="ListBullet"/>
        <w:spacing w:line="240" w:lineRule="auto"/>
        <w:ind w:left="720"/>
      </w:pPr>
      <w:r/>
      <w:hyperlink r:id="rId14">
        <w:r>
          <w:rPr>
            <w:color w:val="0000EE"/>
            <w:u w:val="single"/>
          </w:rPr>
          <w:t>[5]</w:t>
        </w:r>
      </w:hyperlink>
      <w:r>
        <w:t xml:space="preserve"> (Ravetree) - Paragraph 6, Paragraph 10</w:t>
      </w:r>
      <w:r/>
    </w:p>
    <w:p>
      <w:pPr>
        <w:pStyle w:val="ListBullet"/>
        <w:spacing w:line="240" w:lineRule="auto"/>
        <w:ind w:left="720"/>
      </w:pPr>
      <w:r/>
      <w:hyperlink r:id="rId15">
        <w:r>
          <w:rPr>
            <w:color w:val="0000EE"/>
            <w:u w:val="single"/>
          </w:rPr>
          <w:t>[6]</w:t>
        </w:r>
      </w:hyperlink>
      <w:r>
        <w:t xml:space="preserve"> (PSA Solutions / iManage) - Paragraph 8,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https://smartermsp.com/tip-tuesday-how-to-use-your-psa-to-simplify-client-compliance/</w:t>
        </w:r>
      </w:hyperlink>
      <w:r>
        <w:t xml:space="preserve"> - Please view link - unable to able to access data</w:t>
      </w:r>
      <w:r/>
    </w:p>
    <w:p>
      <w:pPr>
        <w:pStyle w:val="ListNumber"/>
        <w:spacing w:line="240" w:lineRule="auto"/>
        <w:ind w:left="720"/>
      </w:pPr>
      <w:r/>
      <w:hyperlink r:id="rId13">
        <w:r>
          <w:rPr>
            <w:color w:val="0000EE"/>
            <w:u w:val="single"/>
          </w:rPr>
          <w:t>https://psasolutions.com/custodian-client-onboarding</w:t>
        </w:r>
      </w:hyperlink>
      <w:r>
        <w:t xml:space="preserve"> - Custodian's Client Onboarding solution streamlines client and matter intake by integrating identity checks, risk scoring, e-ID signing, and ERP/DMS provisioning into automated workflows. This approach ensures compliance with Anti-Money Laundering (AML) requirements, accelerates revenue capture, and provides a seamless, mobile-ready intake experience without the need for bespoke development. The system offers automated Know Your Customer (KYC), AML, and e-ID checks, digitised intake processes that expedite onboarding and billing, and audit-ready visibility through automated logs and reports, all contributing to a frictionless client journey.</w:t>
      </w:r>
      <w:r/>
    </w:p>
    <w:p>
      <w:pPr>
        <w:pStyle w:val="ListNumber"/>
        <w:spacing w:line="240" w:lineRule="auto"/>
        <w:ind w:left="720"/>
      </w:pPr>
      <w:r/>
      <w:hyperlink r:id="rId10">
        <w:r>
          <w:rPr>
            <w:color w:val="0000EE"/>
            <w:u w:val="single"/>
          </w:rPr>
          <w:t>https://www.planview.com/resources/guide/professional-services-automation-guide/</w:t>
        </w:r>
      </w:hyperlink>
      <w:r>
        <w:t xml:space="preserve"> - Planview's guide to Professional Services Automation (PSA) highlights how PSA software enhances project and resource management, configurable workflow automation, and collaboration to deliver successful business outcomes for clients. It addresses common challenges such as project delivery issues, billing inefficiencies, revenue forecasting, and reporting, demonstrating how PSA software provides real-time transparency, centralises data, and leverages analytics to improve decision-making and operational performance, thereby increasing delivery confidence and client satisfaction.</w:t>
      </w:r>
      <w:r/>
    </w:p>
    <w:p>
      <w:pPr>
        <w:pStyle w:val="ListNumber"/>
        <w:spacing w:line="240" w:lineRule="auto"/>
        <w:ind w:left="720"/>
      </w:pPr>
      <w:r/>
      <w:hyperlink r:id="rId12">
        <w:r>
          <w:rPr>
            <w:color w:val="0000EE"/>
            <w:u w:val="single"/>
          </w:rPr>
          <w:t>https://syncromsp.com/blog/psa-elevate-customer-experience/</w:t>
        </w:r>
      </w:hyperlink>
      <w:r>
        <w:t xml:space="preserve"> - Syncro's article discusses how Professional Services Automation (PSA) platforms can enhance the customer experience by providing insights and automation that enable technicians to work more efficiently and proactively. Key features include deep integration with Remote Monitoring and Management (RMM) tools, customizable client-facing reporting, self-service portals, ticket sentiment analysis, and automated billing and Service Level Agreement (SLA) management. These features collectively improve client satisfaction, reduce operational inefficiencies, and support the delivery of exceptional customer service.</w:t>
      </w:r>
      <w:r/>
    </w:p>
    <w:p>
      <w:pPr>
        <w:pStyle w:val="ListNumber"/>
        <w:spacing w:line="240" w:lineRule="auto"/>
        <w:ind w:left="720"/>
      </w:pPr>
      <w:r/>
      <w:hyperlink r:id="rId14">
        <w:r>
          <w:rPr>
            <w:color w:val="0000EE"/>
            <w:u w:val="single"/>
          </w:rPr>
          <w:t>https://www.ravetree.com/blog/5-ways-psa-software-can-reduce-operational-risk</w:t>
        </w:r>
      </w:hyperlink>
      <w:r>
        <w:t xml:space="preserve"> - Ravetree's blog post outlines five ways Professional Services Automation (PSA) software can mitigate operational risks in professional services firms. These include enhanced project visibility and control through real-time dashboards and automated workflows, improved financial controls and forecasting via integrated project accounting and budget management, and strengthened client relationship management through client portals and integrated communication tools. The article emphasises how PSA software provides comprehensive insights and automation to proactively address potential risks, leading to more successful project outcomes and client satisfaction.</w:t>
      </w:r>
      <w:r/>
    </w:p>
    <w:p>
      <w:pPr>
        <w:pStyle w:val="ListNumber"/>
        <w:spacing w:line="240" w:lineRule="auto"/>
        <w:ind w:left="720"/>
      </w:pPr>
      <w:r/>
      <w:hyperlink r:id="rId15">
        <w:r>
          <w:rPr>
            <w:color w:val="0000EE"/>
            <w:u w:val="single"/>
          </w:rPr>
          <w:t>https://psasolutions.com/imanage</w:t>
        </w:r>
      </w:hyperlink>
      <w:r>
        <w:t xml:space="preserve"> - PSA Solutions' partnership with iManage offers a secure cloud-based knowledge work platform designed to enhance productivity and collaboration for legal professionals. iManage provides AI-powered tools, a vast partner ecosystem, and a customer-driven approach to help organisations manage documents efficiently, protect vital information assets, and leverage knowledge on a global scale. The platform is purpose-built to support law firms, accounting firms, and in-house legal teams, offering features such as secure cloud access, artificial intelligence integration, and a strong partnership with Microsoft to enhance modern work environments.</w:t>
      </w:r>
      <w:r/>
    </w:p>
    <w:p>
      <w:pPr>
        <w:pStyle w:val="ListNumber"/>
        <w:spacing w:line="240" w:lineRule="auto"/>
        <w:ind w:left="720"/>
      </w:pPr>
      <w:r/>
      <w:hyperlink r:id="rId11">
        <w:r>
          <w:rPr>
            <w:color w:val="0000EE"/>
            <w:u w:val="single"/>
          </w:rPr>
          <w:t>https://cnwr.com/blog/audit-ready-documentation-via-psa-integrated-managed-services-tools</w:t>
        </w:r>
      </w:hyperlink>
      <w:r>
        <w:t xml:space="preserve"> - CNWR's blog post discusses the benefits of integrating Professional Services Automation (PSA) with managed services tools to achieve audit-ready documentation. Key advantages include enhanced efficiency and productivity through automation of manual documentation tasks, improved compliance and security posture via continuous monitoring and automated documentation, and better visibility and control over operations through integrated dashboards that provide real-time insights into service performance and compliance status. The article highlights how this integration streamlines audit preparation and strengthens overall operational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martermsp.com/tip-tuesday-how-to-use-your-psa-to-simplify-client-compliance/" TargetMode="External"/><Relationship Id="rId10" Type="http://schemas.openxmlformats.org/officeDocument/2006/relationships/hyperlink" Target="https://www.planview.com/resources/guide/professional-services-automation-guide/" TargetMode="External"/><Relationship Id="rId11" Type="http://schemas.openxmlformats.org/officeDocument/2006/relationships/hyperlink" Target="https://cnwr.com/blog/audit-ready-documentation-via-psa-integrated-managed-services-tools" TargetMode="External"/><Relationship Id="rId12" Type="http://schemas.openxmlformats.org/officeDocument/2006/relationships/hyperlink" Target="https://syncromsp.com/blog/psa-elevate-customer-experience/" TargetMode="External"/><Relationship Id="rId13" Type="http://schemas.openxmlformats.org/officeDocument/2006/relationships/hyperlink" Target="https://psasolutions.com/custodian-client-onboarding" TargetMode="External"/><Relationship Id="rId14" Type="http://schemas.openxmlformats.org/officeDocument/2006/relationships/hyperlink" Target="https://www.ravetree.com/blog/5-ways-psa-software-can-reduce-operational-risk" TargetMode="External"/><Relationship Id="rId15" Type="http://schemas.openxmlformats.org/officeDocument/2006/relationships/hyperlink" Target="https://psasolutions.com/imanag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