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Arizona’s tech growth accelerates through strategic hyperscaler alliances and digital innovations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Arizona’s rapid climb as a technology hub is increasingly defined not only by capital flowing into semiconductors, advanced manufacturing and healthcare but by the architecture underpinning that growth: cloud platforms and enterprise software delivered at scale. The company claims its two‑decade alliances with SAP, AWS and Microsoft position it to help local firms navigate complexity, reduce risk and accelerate innovation as they pursue large‑scale digital transformation into 2026. </w:t>
      </w:r>
      <w:hyperlink r:id="rId9">
        <w:r>
          <w:rPr>
            <w:color w:val="0000EE"/>
            <w:u w:val="single"/>
          </w:rPr>
          <w:t>[1]</w:t>
        </w:r>
      </w:hyperlink>
      <w:hyperlink r:id="rId10">
        <w:r>
          <w:rPr>
            <w:color w:val="0000EE"/>
            <w:u w:val="single"/>
          </w:rPr>
          <w:t>[2]</w:t>
        </w:r>
      </w:hyperlink>
      <w:r/>
    </w:p>
    <w:p>
      <w:r/>
      <w:r>
        <w:t xml:space="preserve">According to the overview provided by the guest submission, SAP remains central to many enterprise modernisation efforts in the state; industry trends cited in the piece indicate roughly 55% of organisations now use SAP Business Technology Platform to drive S/4HANA projects. The firm highlights its depth of SAP expertise, more than 900 certifications and status within SAP’s Regional Strategic Services Partner initiative, as the capability Arizona customers need to execute migrations and full‑scale ERP transformations. </w:t>
      </w:r>
      <w:hyperlink r:id="rId9">
        <w:r>
          <w:rPr>
            <w:color w:val="0000EE"/>
            <w:u w:val="single"/>
          </w:rPr>
          <w:t>[1]</w:t>
        </w:r>
      </w:hyperlink>
      <w:r/>
    </w:p>
    <w:p>
      <w:r/>
      <w:r>
        <w:t xml:space="preserve">On infrastructure and security, the submission stresses AWS credentials as evidence of production‑grade cloud delivery. It notes designations such as AWS Well‑Architected Partner and AWS Security Service Competency, and the wider group’s claim of hundreds of AWS‑certified professionals, to argue that clients can build secure, resilient and optimised cloud estates rather than incur amplified cyber risk during rapid cloud adoption. Independent press releases and partner announcements corroborate the firm’s AWS Security Services Competency and its Generative AI competency, underscoring its declared focus on secure cloud and AI services. </w:t>
      </w:r>
      <w:hyperlink r:id="rId9">
        <w:r>
          <w:rPr>
            <w:color w:val="0000EE"/>
            <w:u w:val="single"/>
          </w:rPr>
          <w:t>[1]</w:t>
        </w:r>
      </w:hyperlink>
      <w:hyperlink r:id="rId11">
        <w:r>
          <w:rPr>
            <w:color w:val="0000EE"/>
            <w:u w:val="single"/>
          </w:rPr>
          <w:t>[4]</w:t>
        </w:r>
      </w:hyperlink>
      <w:hyperlink r:id="rId12">
        <w:r>
          <w:rPr>
            <w:color w:val="0000EE"/>
            <w:u w:val="single"/>
          </w:rPr>
          <w:t>[5]</w:t>
        </w:r>
      </w:hyperlink>
      <w:hyperlink r:id="rId13">
        <w:r>
          <w:rPr>
            <w:color w:val="0000EE"/>
            <w:u w:val="single"/>
          </w:rPr>
          <w:t>[7]</w:t>
        </w:r>
      </w:hyperlink>
      <w:r/>
    </w:p>
    <w:p>
      <w:r/>
      <w:r>
        <w:t xml:space="preserve">The piece frames Microsoft as the glue for productivity and hybrid workplace transformation, citing deployments that combine Office 365, OneDrive and Azure services to create integrated digital workplaces. The submission presents long‑standing Microsoft alliances as essential to delivering end‑to‑end change that spans collaboration, identity and platform modernisation. </w:t>
      </w:r>
      <w:hyperlink r:id="rId9">
        <w:r>
          <w:rPr>
            <w:color w:val="0000EE"/>
            <w:u w:val="single"/>
          </w:rPr>
          <w:t>[1]</w:t>
        </w:r>
      </w:hyperlink>
      <w:r/>
    </w:p>
    <w:p>
      <w:r/>
      <w:r>
        <w:t xml:space="preserve">Beyond hyperscaler partnerships, recent corporate news points to the company’s broader commercial ambitions in North America and globally. A disclosed USD100 million digital‑transformation contract spanning three years with a U.S. partner, together with a strategic tie‑up with Kyndryl to co‑deliver AI and enterprise transformation solutions, signals an intent to scale sectoral offerings across banking, finance, insurance and retail while co‑creating IP and sales accelerators. These developments provide context for the guest piece’s claim of expanded capability and market reach. </w:t>
      </w:r>
      <w:hyperlink r:id="rId10">
        <w:r>
          <w:rPr>
            <w:color w:val="0000EE"/>
            <w:u w:val="single"/>
          </w:rPr>
          <w:t>[2]</w:t>
        </w:r>
      </w:hyperlink>
      <w:hyperlink r:id="rId14">
        <w:r>
          <w:rPr>
            <w:color w:val="0000EE"/>
            <w:u w:val="single"/>
          </w:rPr>
          <w:t>[3]</w:t>
        </w:r>
      </w:hyperlink>
      <w:r/>
    </w:p>
    <w:p>
      <w:r/>
      <w:r>
        <w:t xml:space="preserve">Industry recognition and scale also feature in the supporting materials. Gartner‑cited rankings and reported revenue milestones are used to position the firm among Asia’s larger IT services players and to substantiate its claim of global delivery capacity; such metrics bolster the argument that Arizona enterprises can access both local delivery and global practice depth. </w:t>
      </w:r>
      <w:hyperlink r:id="rId15">
        <w:r>
          <w:rPr>
            <w:color w:val="0000EE"/>
            <w:u w:val="single"/>
          </w:rPr>
          <w:t>[6]</w:t>
        </w:r>
      </w:hyperlink>
      <w:r/>
    </w:p>
    <w:p>
      <w:r/>
      <w:r>
        <w:t xml:space="preserve">For Arizona organisations weighing options for 2026, the submission’s core counsel is that hyperscaler alliances are a practical route to de‑risked migration, faster AI adoption and sustained competitive advantage. The company urges businesses to treat these partnerships as strategic enablers rather than vendor boxes to tick, positioning itself as a partner to help convert hyperscaler credentials into measurable outcomes for cloud migration, AI implementation and enterprise modernisation. </w:t>
      </w:r>
      <w:hyperlink r:id="rId9">
        <w:r>
          <w:rPr>
            <w:color w:val="0000EE"/>
            <w:u w:val="single"/>
          </w:rPr>
          <w:t>[1]</w:t>
        </w:r>
      </w:hyperlink>
      <w:hyperlink r:id="rId10">
        <w:r>
          <w:rPr>
            <w:color w:val="0000EE"/>
            <w:u w:val="single"/>
          </w:rPr>
          <w:t>[2]</w:t>
        </w:r>
      </w:hyperlink>
      <w:hyperlink r:id="rId14">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(Arizona Technology Council guest blog by FPT) - Paragraph 1, Paragraph 2, Paragraph 3, Paragraph 4, Paragraph 7</w:t>
      </w:r>
      <w:r/>
    </w:p>
    <w:p>
      <w:pPr>
        <w:pStyle w:val="ListBullet"/>
        <w:spacing w:line="240" w:lineRule="auto"/>
        <w:ind w:left="720"/>
      </w:pPr>
      <w:r/>
      <w:hyperlink r:id="rId10">
        <w:r>
          <w:rPr>
            <w:color w:val="0000EE"/>
            <w:u w:val="single"/>
          </w:rPr>
          <w:t>[2]</w:t>
        </w:r>
      </w:hyperlink>
      <w:r>
        <w:t xml:space="preserve"> (FPT Corporation news release on USD100m contract) - Paragraph 1, Paragraph 5, Paragraph 7</w:t>
      </w:r>
      <w:r/>
    </w:p>
    <w:p>
      <w:pPr>
        <w:pStyle w:val="ListBullet"/>
        <w:spacing w:line="240" w:lineRule="auto"/>
        <w:ind w:left="720"/>
      </w:pPr>
      <w:r/>
      <w:hyperlink r:id="rId14">
        <w:r>
          <w:rPr>
            <w:color w:val="0000EE"/>
            <w:u w:val="single"/>
          </w:rPr>
          <w:t>[3]</w:t>
        </w:r>
      </w:hyperlink>
      <w:r>
        <w:t xml:space="preserve"> (FPT press release on partnership with Kyndryl) - Paragraph 5, Paragraph 7</w:t>
      </w:r>
      <w:r/>
    </w:p>
    <w:p>
      <w:pPr>
        <w:pStyle w:val="ListBullet"/>
        <w:spacing w:line="240" w:lineRule="auto"/>
        <w:ind w:left="720"/>
      </w:pPr>
      <w:r/>
      <w:hyperlink r:id="rId11">
        <w:r>
          <w:rPr>
            <w:color w:val="0000EE"/>
            <w:u w:val="single"/>
          </w:rPr>
          <w:t>[4]</w:t>
        </w:r>
      </w:hyperlink>
      <w:r>
        <w:t xml:space="preserve"> (FPT Software press release on AWS Security Competency) - Paragraph 3</w:t>
      </w:r>
      <w:r/>
    </w:p>
    <w:p>
      <w:pPr>
        <w:pStyle w:val="ListBullet"/>
        <w:spacing w:line="240" w:lineRule="auto"/>
        <w:ind w:left="720"/>
      </w:pPr>
      <w:r/>
      <w:hyperlink r:id="rId12">
        <w:r>
          <w:rPr>
            <w:color w:val="0000EE"/>
            <w:u w:val="single"/>
          </w:rPr>
          <w:t>[5]</w:t>
        </w:r>
      </w:hyperlink>
      <w:r>
        <w:t xml:space="preserve"> (FPT news on AWS Generative AI competency) - Paragraph 3</w:t>
      </w:r>
      <w:r/>
    </w:p>
    <w:p>
      <w:pPr>
        <w:pStyle w:val="ListBullet"/>
        <w:spacing w:line="240" w:lineRule="auto"/>
        <w:ind w:left="720"/>
      </w:pPr>
      <w:r/>
      <w:hyperlink r:id="rId15">
        <w:r>
          <w:rPr>
            <w:color w:val="0000EE"/>
            <w:u w:val="single"/>
          </w:rPr>
          <w:t>[6]</w:t>
        </w:r>
      </w:hyperlink>
      <w:r>
        <w:t xml:space="preserve"> (Businesswire summary of Gartner ranking) - Paragraph 6</w:t>
      </w:r>
      <w:r/>
    </w:p>
    <w:p>
      <w:pPr>
        <w:pStyle w:val="ListBullet"/>
        <w:spacing w:line="240" w:lineRule="auto"/>
        <w:ind w:left="720"/>
      </w:pPr>
      <w:r/>
      <w:hyperlink r:id="rId13">
        <w:r>
          <w:rPr>
            <w:color w:val="0000EE"/>
            <w:u w:val="single"/>
          </w:rPr>
          <w:t>[7]</w:t>
        </w:r>
      </w:hyperlink>
      <w:r>
        <w:t xml:space="preserve"> (FPT news on AWS Security Service Competency)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https://www.aztechcouncil.org/fpt-guest-blog-how-fpts-hyperscaler-collaborations-drive-arizonas-digital-future/</w:t>
        </w:r>
      </w:hyperlink>
      <w:r>
        <w:t xml:space="preserve"> - Please view link - unable to able to access data</w:t>
      </w:r>
      <w:r/>
    </w:p>
    <w:p>
      <w:pPr>
        <w:pStyle w:val="ListNumber"/>
        <w:spacing w:line="240" w:lineRule="auto"/>
        <w:ind w:left="720"/>
      </w:pPr>
      <w:r/>
      <w:hyperlink r:id="rId10">
        <w:r>
          <w:rPr>
            <w:color w:val="0000EE"/>
            <w:u w:val="single"/>
          </w:rPr>
          <w:t>https://fpt.com/en/news/fpt-news/fpt-ky-hop-dong-chuyen-doi-so-100-trieu-usd-voi-khach-hang-my</w:t>
        </w:r>
      </w:hyperlink>
      <w:r>
        <w:t xml:space="preserve"> - FPT Corporation has signed a USD 100 million digital transformation contract over three years with a U.S.-based partner. The agreement aims to accelerate digital transformation for clients across North America, Europe, and Japan, focusing on sectors such as banking, finance, insurance, and retail. FPT will implement comprehensive solutions, including IT consulting, cloud migration, and AI integration, to enhance performance and scalability. This partnership underscores FPT's commitment to delivering flexible and sustainable IT services globally. (</w:t>
      </w:r>
      <w:hyperlink r:id="rId17">
        <w:r>
          <w:rPr>
            <w:color w:val="0000EE"/>
            <w:u w:val="single"/>
          </w:rPr>
          <w:t>fpt.com</w:t>
        </w:r>
      </w:hyperlink>
      <w:r>
        <w:t>)</w:t>
      </w:r>
      <w:r/>
    </w:p>
    <w:p>
      <w:pPr>
        <w:pStyle w:val="ListNumber"/>
        <w:spacing w:line="240" w:lineRule="auto"/>
        <w:ind w:left="720"/>
      </w:pPr>
      <w:r/>
      <w:hyperlink r:id="rId14">
        <w:r>
          <w:rPr>
            <w:color w:val="0000EE"/>
            <w:u w:val="single"/>
          </w:rPr>
          <w:t>https://fptsoftware.com/newsroom/news-and-press-releases/news/fpt-announces-partnership-with-kyndryl-to-offer-ai-and-enterprise-transformation-solutions</w:t>
        </w:r>
      </w:hyperlink>
      <w:r>
        <w:t xml:space="preserve"> - FPT has partnered with Kyndryl to provide unified, end-to-end AI and enterprise transformation solutions across North America, Europe, the UK, and Japan. The collaboration focuses on sectors like banking, financial services, insurance, and retail, offering services such as application management, AI and data analytics, cloud migration, and IT consulting. Both companies aim to co-create intellectual property and sales accelerators, leveraging their expertise and partnerships with industry leaders like Microsoft and NVIDIA. (</w:t>
      </w:r>
      <w:hyperlink r:id="rId18">
        <w:r>
          <w:rPr>
            <w:color w:val="0000EE"/>
            <w:u w:val="single"/>
          </w:rPr>
          <w:t>fptsoftware.com</w:t>
        </w:r>
      </w:hyperlink>
      <w:r>
        <w:t>)</w:t>
      </w:r>
      <w:r/>
    </w:p>
    <w:p>
      <w:pPr>
        <w:pStyle w:val="ListNumber"/>
        <w:spacing w:line="240" w:lineRule="auto"/>
        <w:ind w:left="720"/>
      </w:pPr>
      <w:r/>
      <w:hyperlink r:id="rId11">
        <w:r>
          <w:rPr>
            <w:color w:val="0000EE"/>
            <w:u w:val="single"/>
          </w:rPr>
          <w:t>https://fptsoftware.com/newsroom/news-and-press-releases/press-release/fpt-software-achieves-aws-security-competency-status</w:t>
        </w:r>
      </w:hyperlink>
      <w:r>
        <w:t xml:space="preserve"> - FPT Software has achieved the AWS Security Services Competency, affirming its position as a leading provider in cloud transformation. This competency recognises FPT Software's ability to deliver professional cloud transformation services globally, demonstrating its commitment to developing and providing secure cloud solutions. (</w:t>
      </w:r>
      <w:hyperlink r:id="rId19">
        <w:r>
          <w:rPr>
            <w:color w:val="0000EE"/>
            <w:u w:val="single"/>
          </w:rPr>
          <w:t>fptsoftware.com</w:t>
        </w:r>
      </w:hyperlink>
      <w:r>
        <w:t>)</w:t>
      </w:r>
      <w:r/>
    </w:p>
    <w:p>
      <w:pPr>
        <w:pStyle w:val="ListNumber"/>
        <w:spacing w:line="240" w:lineRule="auto"/>
        <w:ind w:left="720"/>
      </w:pPr>
      <w:r/>
      <w:hyperlink r:id="rId12">
        <w:r>
          <w:rPr>
            <w:color w:val="0000EE"/>
            <w:u w:val="single"/>
          </w:rPr>
          <w:t>https://fpt.com/en/news/fpt-news/fpt-dat-chung-nhan-cao-nhat-ve-generative-ai-tu-amazon-web-services</w:t>
        </w:r>
      </w:hyperlink>
      <w:r>
        <w:t xml:space="preserve"> - FPT has achieved the AWS Generative AI Competency, recognising its technical proficiency and proven customer success in supporting enterprises to accelerate innovation and unlock new business value through scalable generative AI solutions. This competency sets FPT apart as an AWS Partner that helps customers and the AWS Partner Network drive the advancement of services, tools, and infrastructure pivotal for implementing generative AI technologies. (</w:t>
      </w:r>
      <w:hyperlink r:id="rId20">
        <w:r>
          <w:rPr>
            <w:color w:val="0000EE"/>
            <w:u w:val="single"/>
          </w:rPr>
          <w:t>fpt.com</w:t>
        </w:r>
      </w:hyperlink>
      <w:r>
        <w:t>)</w:t>
      </w:r>
      <w:r/>
    </w:p>
    <w:p>
      <w:pPr>
        <w:pStyle w:val="ListNumber"/>
        <w:spacing w:line="240" w:lineRule="auto"/>
        <w:ind w:left="720"/>
      </w:pPr>
      <w:r/>
      <w:hyperlink r:id="rId15">
        <w:r>
          <w:rPr>
            <w:color w:val="0000EE"/>
            <w:u w:val="single"/>
          </w:rPr>
          <w:t>https://www.businesswire.com/news/home/20240515467792/en/FPT-Entered-Asias-Top-50-IT-Services-Companies</w:t>
        </w:r>
      </w:hyperlink>
      <w:r>
        <w:t xml:space="preserve"> - FPT Corporation has been ranked among Asia’s top 50 IT services companies and top 150 globally by revenue, according to Gartner's 2023 report. This achievement underscores FPT's commitment to expanding its global customer base and providing comprehensive, end-to-end services and solutions. In 2023, FPT generated over USD 1 billion in revenue from its global IT services, marking a significant milestone in its growth trajectory. (</w:t>
      </w:r>
      <w:hyperlink r:id="rId21">
        <w:r>
          <w:rPr>
            <w:color w:val="0000EE"/>
            <w:u w:val="single"/>
          </w:rPr>
          <w:t>businesswire.com</w:t>
        </w:r>
      </w:hyperlink>
      <w:r>
        <w:t>)</w:t>
      </w:r>
      <w:r/>
    </w:p>
    <w:p>
      <w:pPr>
        <w:pStyle w:val="ListNumber"/>
        <w:spacing w:line="240" w:lineRule="auto"/>
        <w:ind w:left="720"/>
      </w:pPr>
      <w:r/>
      <w:hyperlink r:id="rId13">
        <w:r>
          <w:rPr>
            <w:color w:val="0000EE"/>
            <w:u w:val="single"/>
          </w:rPr>
          <w:t>https://fpt.com/en/news/fpt-news/fpt-software-la-doi-tac-bao-mat-noi-bat-cua-aws</w:t>
        </w:r>
      </w:hyperlink>
      <w:r>
        <w:t xml:space="preserve"> - FPT Software has been certified as an AWS Security Service Competency partner, affirming its ability to provide world-class technology services in the cloud computing security field. This certification is reserved for professional digital transformation partners with extensive technical expertise and a strong reputation in security practices. Achieving this competency differentiates FPT Software's cloud capabilities and unlocks positive prospects in the global market. (</w:t>
      </w:r>
      <w:hyperlink r:id="rId22">
        <w:r>
          <w:rPr>
            <w:color w:val="0000EE"/>
            <w:u w:val="single"/>
          </w:rPr>
          <w:t>fpt.com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ztechcouncil.org/fpt-guest-blog-how-fpts-hyperscaler-collaborations-drive-arizonas-digital-future/" TargetMode="External"/><Relationship Id="rId10" Type="http://schemas.openxmlformats.org/officeDocument/2006/relationships/hyperlink" Target="https://fpt.com/en/news/fpt-news/fpt-ky-hop-dong-chuyen-doi-so-100-trieu-usd-voi-khach-hang-my" TargetMode="External"/><Relationship Id="rId11" Type="http://schemas.openxmlformats.org/officeDocument/2006/relationships/hyperlink" Target="https://fptsoftware.com/newsroom/news-and-press-releases/press-release/fpt-software-achieves-aws-security-competency-status" TargetMode="External"/><Relationship Id="rId12" Type="http://schemas.openxmlformats.org/officeDocument/2006/relationships/hyperlink" Target="https://fpt.com/en/news/fpt-news/fpt-dat-chung-nhan-cao-nhat-ve-generative-ai-tu-amazon-web-services" TargetMode="External"/><Relationship Id="rId13" Type="http://schemas.openxmlformats.org/officeDocument/2006/relationships/hyperlink" Target="https://fpt.com/en/news/fpt-news/fpt-software-la-doi-tac-bao-mat-noi-bat-cua-aws" TargetMode="External"/><Relationship Id="rId14" Type="http://schemas.openxmlformats.org/officeDocument/2006/relationships/hyperlink" Target="https://fptsoftware.com/newsroom/news-and-press-releases/news/fpt-announces-partnership-with-kyndryl-to-offer-ai-and-enterprise-transformation-solutions" TargetMode="External"/><Relationship Id="rId15" Type="http://schemas.openxmlformats.org/officeDocument/2006/relationships/hyperlink" Target="https://www.businesswire.com/news/home/20240515467792/en/FPT-Entered-Asias-Top-50-IT-Services-Companies" TargetMode="External"/><Relationship Id="rId16" Type="http://schemas.openxmlformats.org/officeDocument/2006/relationships/hyperlink" Target="https://www.noahwire.com" TargetMode="External"/><Relationship Id="rId17" Type="http://schemas.openxmlformats.org/officeDocument/2006/relationships/hyperlink" Target="https://fpt.com/en/news/fpt-news/fpt-ky-hop-dong-chuyen-doi-so-100-trieu-usd-voi-khach-hang-my?utm_source=openai" TargetMode="External"/><Relationship Id="rId18" Type="http://schemas.openxmlformats.org/officeDocument/2006/relationships/hyperlink" Target="https://fptsoftware.com/newsroom/news-and-press-releases/news/fpt-announces-partnership-with-kyndryl-to-offer-ai-and-enterprise-transformation-solutions?utm_source=openai" TargetMode="External"/><Relationship Id="rId19" Type="http://schemas.openxmlformats.org/officeDocument/2006/relationships/hyperlink" Target="https://fptsoftware.com/newsroom/news-and-press-releases/press-release/fpt-software-achieves-aws-security-competency-status?utm_source=openai" TargetMode="External"/><Relationship Id="rId20" Type="http://schemas.openxmlformats.org/officeDocument/2006/relationships/hyperlink" Target="https://fpt.com/en/news/fpt-news/fpt-dat-chung-nhan-cao-nhat-ve-generative-ai-tu-amazon-web-services?utm_source=openai" TargetMode="External"/><Relationship Id="rId21" Type="http://schemas.openxmlformats.org/officeDocument/2006/relationships/hyperlink" Target="https://www.businesswire.com/news/home/20240515467792/en/FPT-Entered-Asias-Top-50-IT-Services-Companies?utm_source=openai" TargetMode="External"/><Relationship Id="rId22" Type="http://schemas.openxmlformats.org/officeDocument/2006/relationships/hyperlink" Target="https://fpt.com/en/news/fpt-news/fpt-software-la-doi-tac-bao-mat-noi-bat-cua-aw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