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payment fraud threats prompt merchants to adopt layered security strategies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Digital payments have transformed commerce, accelerating transactions while widening the attack surface for increasingly sophisticated scammers. According to Technology.org, global payment fraud losses topped $44.3 billion in 2024 and continue to rise as online commerce expands, making proactive and layered defences essential for merchants managing high transaction volumes. </w:t>
      </w:r>
      <w:hyperlink r:id="rId9">
        <w:r>
          <w:rPr>
            <w:color w:val="0000EE"/>
            <w:u w:val="single"/>
          </w:rPr>
          <w:t>[1]</w:t>
        </w:r>
      </w:hyperlink>
      <w:r/>
    </w:p>
    <w:p>
      <w:r/>
      <w:r>
        <w:t xml:space="preserve">Card‑not‑present (CNP) fraud remains a primary threat because criminals can use stolen card data without physically presenting a card. Technology.org notes typical warning signs, mismatched billing and shipping addresses, multiple attempts from the same IP, and unusually large or rushed first‑time orders, and recommends practical measures such as Address Verification Systems (AVS), CVV requirements and multi‑factor authentication. Industry suppliers and fraud advisers urge merchants to pair those checks with device fingerprinting and behaviour analytics to detect anomalous patterns in real time. </w:t>
      </w:r>
      <w:hyperlink r:id="rId9">
        <w:r>
          <w:rPr>
            <w:color w:val="0000EE"/>
            <w:u w:val="single"/>
          </w:rPr>
          <w:t>[1]</w:t>
        </w:r>
      </w:hyperlink>
      <w:hyperlink r:id="rId10">
        <w:r>
          <w:rPr>
            <w:color w:val="0000EE"/>
            <w:u w:val="single"/>
          </w:rPr>
          <w:t>[2]</w:t>
        </w:r>
      </w:hyperlink>
      <w:r/>
    </w:p>
    <w:p>
      <w:r/>
      <w:r>
        <w:t xml:space="preserve">Friendly fraud and chargeback abuse are growing problems that can quietly erode merchants’ margins. Technology.org describes common triggers, forgotten subscriptions, family purchases and intentionally false disputes, and stresses documentation as the strongest defence: delivery confirmations, clear billing descriptors and signed receipts for high‑value items. Payment industry guidance also recommends proactive chargeback management and clearly displayed refund policies to reduce disputes before they escalate. </w:t>
      </w:r>
      <w:hyperlink r:id="rId9">
        <w:r>
          <w:rPr>
            <w:color w:val="0000EE"/>
            <w:u w:val="single"/>
          </w:rPr>
          <w:t>[1]</w:t>
        </w:r>
      </w:hyperlink>
      <w:hyperlink r:id="rId11">
        <w:r>
          <w:rPr>
            <w:color w:val="0000EE"/>
            <w:u w:val="single"/>
          </w:rPr>
          <w:t>[4]</w:t>
        </w:r>
      </w:hyperlink>
      <w:r/>
    </w:p>
    <w:p>
      <w:r/>
      <w:r>
        <w:t xml:space="preserve">Account takeover (ATO) attacks exploit credential leaks and phishing to hijack customer accounts and drain stored payment instruments. Technology.org highlights red flags such as multiple failed logins, sudden password changes and new shipping addresses; recommended countermeasures include CAPTCHA, risk‑based authentication, notification of account changes and encouragement of strong passwords. Complementary vendor advice adds that multi‑factor authentication and AI‑driven login risk scoring substantially reduce successful takeovers. </w:t>
      </w:r>
      <w:hyperlink r:id="rId9">
        <w:r>
          <w:rPr>
            <w:color w:val="0000EE"/>
            <w:u w:val="single"/>
          </w:rPr>
          <w:t>[1]</w:t>
        </w:r>
      </w:hyperlink>
      <w:hyperlink r:id="rId10">
        <w:r>
          <w:rPr>
            <w:color w:val="0000EE"/>
            <w:u w:val="single"/>
          </w:rPr>
          <w:t>[2]</w:t>
        </w:r>
      </w:hyperlink>
      <w:r/>
    </w:p>
    <w:p>
      <w:r/>
      <w:r>
        <w:t xml:space="preserve">Refund manipulation and overpayment scams persist in both e‑commerce and face‑to‑face settings, with fraudsters asking for refunds to alternative accounts or producing forged payment confirmations. Technology.org recommends refunding only to the original payment method and verifying settlement before issuing refunds; payments specialists add that automated settlement checks and delayed refund windows for unusual claims cut the effectiveness of these schemes. </w:t>
      </w:r>
      <w:hyperlink r:id="rId9">
        <w:r>
          <w:rPr>
            <w:color w:val="0000EE"/>
            <w:u w:val="single"/>
          </w:rPr>
          <w:t>[1]</w:t>
        </w:r>
      </w:hyperlink>
      <w:hyperlink r:id="rId12">
        <w:r>
          <w:rPr>
            <w:color w:val="0000EE"/>
            <w:u w:val="single"/>
          </w:rPr>
          <w:t>[7]</w:t>
        </w:r>
      </w:hyperlink>
      <w:r/>
    </w:p>
    <w:p>
      <w:r/>
      <w:r>
        <w:t xml:space="preserve">Physical attacks on payment terminals remain relevant: skimming, terminal tampering and illicit attachments continue to harvest card data at the point of sale. Regular equipment inspections, restricted access to terminals, camera coverage and immediate replacement of suspect hardware are practical steps Technology.org recommends. The U.S. Chamber of Commerce also warns merchants to be alert to suspicious sales or processing offers and to insist on clear, professional vendor communications when procuring payment services. </w:t>
      </w:r>
      <w:hyperlink r:id="rId9">
        <w:r>
          <w:rPr>
            <w:color w:val="0000EE"/>
            <w:u w:val="single"/>
          </w:rPr>
          <w:t>[1]</w:t>
        </w:r>
      </w:hyperlink>
      <w:hyperlink r:id="rId13">
        <w:r>
          <w:rPr>
            <w:color w:val="0000EE"/>
            <w:u w:val="single"/>
          </w:rPr>
          <w:t>[6]</w:t>
        </w:r>
      </w:hyperlink>
      <w:r/>
    </w:p>
    <w:p>
      <w:r/>
      <w:r>
        <w:t xml:space="preserve">Scammers increasingly rely on social engineering and impersonation, phishing emails, fake urgent calls from “support” teams, and fraudulent invoices, so employee awareness is critical. Technology.org prescribes staff training on recognising suspicious requests and clear escalation paths; vendors and payments researchers emphasise ongoing refresh sessions and simulated phishing to keep employee responses sharp. Combining human vigilance with verification policies reduces the chance that fraudsters bypass technical controls through persuasion.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A layered defence is the most resilient posture. Technology.org argues for multi‑layered programmes that blend technology, staff training, physical security and robust internal policies; Mastercard’s industry analysis highlights the commercial imperative by reporting sharp increases in scam‑related fraud and losses in recent years, reinforcing that single‑point protections are inadequate. Real‑time AI transaction monitoring, tokenisation and PCI‑DSS‑compliant gateways, joined with documented refund and escalation procedures, create redundancy that catches attempts that slip past any one control. </w:t>
      </w:r>
      <w:hyperlink r:id="rId9">
        <w:r>
          <w:rPr>
            <w:color w:val="0000EE"/>
            <w:u w:val="single"/>
          </w:rPr>
          <w:t>[1]</w:t>
        </w:r>
      </w:hyperlink>
      <w:hyperlink r:id="rId14">
        <w:r>
          <w:rPr>
            <w:color w:val="0000EE"/>
            <w:u w:val="single"/>
          </w:rPr>
          <w:t>[3]</w:t>
        </w:r>
      </w:hyperlink>
      <w:hyperlink r:id="rId11">
        <w:r>
          <w:rPr>
            <w:color w:val="0000EE"/>
            <w:u w:val="single"/>
          </w:rPr>
          <w:t>[4]</w:t>
        </w:r>
      </w:hyperlink>
      <w:r/>
    </w:p>
    <w:p>
      <w:r/>
      <w:r>
        <w:t xml:space="preserve">Regional and merchant‑type differences matter: analyses of 2025 fraud trends show higher incidence in North and Latin America compared with some Asia‑Pacific markets and indicate that high‑risk merchants remain particularly exposed to real‑time fraud and refund abuse. Merchants should tailor their controls, raising verification thresholds for high‑value orders, adopting stricter identity checks in jurisdictions with elevated fraud rates and deploying machine learning models tuned to local patterns, to avoid unnecessary friction for legitimate customers while blocking attackers. </w:t>
      </w:r>
      <w:hyperlink r:id="rId15">
        <w:r>
          <w:rPr>
            <w:color w:val="0000EE"/>
            <w:u w:val="single"/>
          </w:rPr>
          <w:t>[5]</w:t>
        </w:r>
      </w:hyperlink>
      <w:r/>
    </w:p>
    <w:p>
      <w:r/>
      <w:r>
        <w:t xml:space="preserve">As scams evolve, so must merchant practices: continuous training, routine terminal inspections, documented refund and dispute workflows, and investment in modern, AI‑enhanced monitoring tools together reduce exposure. According to Technology.org, these combined measures protect not only revenue but also reputation and staff safety; payments specialists add that clear vendor selection criteria and proactive chargeback management further harden defences. Remaining vigilant and adaptive is the best long‑term strategy against a shifting fraud landscape. </w:t>
      </w:r>
      <w:hyperlink r:id="rId9">
        <w:r>
          <w:rPr>
            <w:color w:val="0000EE"/>
            <w:u w:val="single"/>
          </w:rPr>
          <w:t>[1]</w:t>
        </w:r>
      </w:hyperlink>
      <w:hyperlink r:id="rId11">
        <w:r>
          <w:rPr>
            <w:color w:val="0000EE"/>
            <w:u w:val="single"/>
          </w:rPr>
          <w:t>[4]</w:t>
        </w:r>
      </w:hyperlink>
      <w:hyperlink r:id="rId10">
        <w:r>
          <w:rPr>
            <w:color w:val="0000EE"/>
            <w:u w:val="single"/>
          </w:rPr>
          <w:t>[2]</w:t>
        </w:r>
      </w:hyperlink>
      <w:hyperlink r:id="rId13">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(Technology.org) - Paragraph 1, Paragraph 2, Paragraph 3, Paragraph 4, Paragraph 5, Paragraph 6, Paragraph 7, Paragraph 8, Paragraph 10</w:t>
      </w:r>
      <w:r/>
    </w:p>
    <w:p>
      <w:pPr>
        <w:pStyle w:val="ListBullet"/>
        <w:spacing w:line="240" w:lineRule="auto"/>
        <w:ind w:left="720"/>
      </w:pPr>
      <w:r/>
      <w:hyperlink r:id="rId10">
        <w:r>
          <w:rPr>
            <w:color w:val="0000EE"/>
            <w:u w:val="single"/>
          </w:rPr>
          <w:t>[2]</w:t>
        </w:r>
      </w:hyperlink>
      <w:r>
        <w:t xml:space="preserve"> (Geetest) - Paragraph 2, Paragraph 4, Paragraph 7, Paragraph 10</w:t>
      </w:r>
      <w:r/>
    </w:p>
    <w:p>
      <w:pPr>
        <w:pStyle w:val="ListBullet"/>
        <w:spacing w:line="240" w:lineRule="auto"/>
        <w:ind w:left="720"/>
      </w:pPr>
      <w:r/>
      <w:hyperlink r:id="rId14">
        <w:r>
          <w:rPr>
            <w:color w:val="0000EE"/>
            <w:u w:val="single"/>
          </w:rPr>
          <w:t>[3]</w:t>
        </w:r>
      </w:hyperlink>
      <w:r>
        <w:t xml:space="preserve"> (Mastercard) - Paragraph 8</w:t>
      </w:r>
      <w:r/>
    </w:p>
    <w:p>
      <w:pPr>
        <w:pStyle w:val="ListBullet"/>
        <w:spacing w:line="240" w:lineRule="auto"/>
        <w:ind w:left="720"/>
      </w:pPr>
      <w:r/>
      <w:hyperlink r:id="rId11">
        <w:r>
          <w:rPr>
            <w:color w:val="0000EE"/>
            <w:u w:val="single"/>
          </w:rPr>
          <w:t>[4]</w:t>
        </w:r>
      </w:hyperlink>
      <w:r>
        <w:t xml:space="preserve"> (SanctusPay) - Paragraph 3, Paragraph 8, Paragraph 10</w:t>
      </w:r>
      <w:r/>
    </w:p>
    <w:p>
      <w:pPr>
        <w:pStyle w:val="ListBullet"/>
        <w:spacing w:line="240" w:lineRule="auto"/>
        <w:ind w:left="720"/>
      </w:pPr>
      <w:r/>
      <w:hyperlink r:id="rId15">
        <w:r>
          <w:rPr>
            <w:color w:val="0000EE"/>
            <w:u w:val="single"/>
          </w:rPr>
          <w:t>[5]</w:t>
        </w:r>
      </w:hyperlink>
      <w:r>
        <w:t xml:space="preserve"> (Durango Merchant Services) - Paragraph 9</w:t>
      </w:r>
      <w:r/>
    </w:p>
    <w:p>
      <w:pPr>
        <w:pStyle w:val="ListBullet"/>
        <w:spacing w:line="240" w:lineRule="auto"/>
        <w:ind w:left="720"/>
      </w:pPr>
      <w:r/>
      <w:hyperlink r:id="rId13">
        <w:r>
          <w:rPr>
            <w:color w:val="0000EE"/>
            <w:u w:val="single"/>
          </w:rPr>
          <w:t>[6]</w:t>
        </w:r>
      </w:hyperlink>
      <w:r>
        <w:t xml:space="preserve"> (U.S. Chamber of Commerce) - Paragraph 6, Paragraph 10</w:t>
      </w:r>
      <w:r/>
    </w:p>
    <w:p>
      <w:pPr>
        <w:pStyle w:val="ListBullet"/>
        <w:spacing w:line="240" w:lineRule="auto"/>
        <w:ind w:left="720"/>
      </w:pPr>
      <w:r/>
      <w:hyperlink r:id="rId12">
        <w:r>
          <w:rPr>
            <w:color w:val="0000EE"/>
            <w:u w:val="single"/>
          </w:rPr>
          <w:t>[7]</w:t>
        </w:r>
      </w:hyperlink>
      <w:r>
        <w:t xml:space="preserve"> (PaymentSecurityGuide) - Paragraph 5,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https://www.technology.org/2025/12/18/payment-processing-scams-and-how-merchants-stay-safe/</w:t>
        </w:r>
      </w:hyperlink>
      <w:r>
        <w:t xml:space="preserve"> - Please view link - unable to able to access data</w:t>
      </w:r>
      <w:r/>
    </w:p>
    <w:p>
      <w:pPr>
        <w:pStyle w:val="ListNumber"/>
        <w:spacing w:line="240" w:lineRule="auto"/>
        <w:ind w:left="720"/>
      </w:pPr>
      <w:r/>
      <w:hyperlink r:id="rId10">
        <w:r>
          <w:rPr>
            <w:color w:val="0000EE"/>
            <w:u w:val="single"/>
          </w:rPr>
          <w:t>https://www.geetest.com/en/article/how-to-prevent-ecommerce-fraud-2025</w:t>
        </w:r>
      </w:hyperlink>
      <w:r>
        <w:t xml:space="preserve"> - This article outlines strategies to prevent eCommerce fraud in 2025, including implementing multi-factor authentication (MFA) to prevent unauthorized logins, leveraging device fingerprinting and address verification to detect fraudulent transactions, adopting AI-powered transaction monitoring for real-time analysis, managing chargebacks proactively to reduce losses, and training employees on fraud awareness to enhance detection and prevention efforts.</w:t>
      </w:r>
      <w:r/>
    </w:p>
    <w:p>
      <w:pPr>
        <w:pStyle w:val="ListNumber"/>
        <w:spacing w:line="240" w:lineRule="auto"/>
        <w:ind w:left="720"/>
      </w:pPr>
      <w:r/>
      <w:hyperlink r:id="rId14">
        <w:r>
          <w:rPr>
            <w:color w:val="0000EE"/>
            <w:u w:val="single"/>
          </w:rPr>
          <w:t>https://www.mastercard.com/us/en/news-and-trends/Insights/2025/scam-websites-fraudulent-transactions.html</w:t>
        </w:r>
      </w:hyperlink>
      <w:r>
        <w:t xml:space="preserve"> - Mastercard's white paper discusses the rise of scam websites and fraudulent merchants in the e-commerce sector, highlighting a 56% surge in scam-related fraud and a 121% increase in financial losses from scams in 2024. It emphasizes the importance of combating these issues to maintain trust in digital payments and provides best practices for stakeholders to mitigate fraud risks.</w:t>
      </w:r>
      <w:r/>
    </w:p>
    <w:p>
      <w:pPr>
        <w:pStyle w:val="ListNumber"/>
        <w:spacing w:line="240" w:lineRule="auto"/>
        <w:ind w:left="720"/>
      </w:pPr>
      <w:r/>
      <w:hyperlink r:id="rId11">
        <w:r>
          <w:rPr>
            <w:color w:val="0000EE"/>
            <w:u w:val="single"/>
          </w:rPr>
          <w:t>https://sanctuspay.com/top-strategies-to-prevent-payment-fraud-for-your-business/</w:t>
        </w:r>
      </w:hyperlink>
      <w:r>
        <w:t xml:space="preserve"> - SanctusPay outlines top strategies to prevent payment fraud, including using a secure payment gateway compliant with PCI-DSS standards, implementing multi-factor authentication for added security, utilizing real-time fraud detection tools to monitor transactions, minimizing chargebacks by clearly displaying return and refund policies, and staying compliant with industry security standards to protect customer data.</w:t>
      </w:r>
      <w:r/>
    </w:p>
    <w:p>
      <w:pPr>
        <w:pStyle w:val="ListNumber"/>
        <w:spacing w:line="240" w:lineRule="auto"/>
        <w:ind w:left="720"/>
      </w:pPr>
      <w:r/>
      <w:hyperlink r:id="rId15">
        <w:r>
          <w:rPr>
            <w:color w:val="0000EE"/>
            <w:u w:val="single"/>
          </w:rPr>
          <w:t>https://durangomerchantservices.com/2025-ecommerce-fraud-trends-what-high-risk-merchants-need-to-know/</w:t>
        </w:r>
      </w:hyperlink>
      <w:r>
        <w:t xml:space="preserve"> - This article discusses emerging eCommerce fraud trends in 2025, such as real-time payment fraud, refund and policy abuse, and phishing attacks. It highlights the increased adoption of AI and machine learning by merchants to combat fraud and notes regional differences in fraud rates, with merchants in the Asia-Pacific region reporting lower fraud rates compared to North and Latin America.</w:t>
      </w:r>
      <w:r/>
    </w:p>
    <w:p>
      <w:pPr>
        <w:pStyle w:val="ListNumber"/>
        <w:spacing w:line="240" w:lineRule="auto"/>
        <w:ind w:left="720"/>
      </w:pPr>
      <w:r/>
      <w:hyperlink r:id="rId13">
        <w:r>
          <w:rPr>
            <w:color w:val="0000EE"/>
            <w:u w:val="single"/>
          </w:rPr>
          <w:t>https://www.uschamber.com/co/run/finance/prevent-credit-card-scams</w:t>
        </w:r>
      </w:hyperlink>
      <w:r>
        <w:t xml:space="preserve"> - The U.S. Chamber of Commerce provides guidance on preventing credit card processing scams, advising businesses to watch out for red flags like termination fees based on estimated processing amounts, aggressive sales tactics, promises of free hardware, requests for confidential financial information, complex pricing models, and lack of professional communication channels.</w:t>
      </w:r>
      <w:r/>
    </w:p>
    <w:p>
      <w:pPr>
        <w:pStyle w:val="ListNumber"/>
        <w:spacing w:line="240" w:lineRule="auto"/>
        <w:ind w:left="720"/>
      </w:pPr>
      <w:r/>
      <w:hyperlink r:id="rId12">
        <w:r>
          <w:rPr>
            <w:color w:val="0000EE"/>
            <w:u w:val="single"/>
          </w:rPr>
          <w:t>https://paymentsecurityguide.com/latest-scams-targeting-small-businesses-in-payments-2025-update/</w:t>
        </w:r>
      </w:hyperlink>
      <w:r>
        <w:t xml:space="preserve"> - This article updates on the latest scams targeting small businesses in payments, including overpayment schemes where customers deliberately overpay and request refunds via different methods, and business email compromise (BEC) where hackers gain access to company emails to send fraudulent invoices or payment instructions, leading to financial losses for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nology.org/2025/12/18/payment-processing-scams-and-how-merchants-stay-safe/" TargetMode="External"/><Relationship Id="rId10" Type="http://schemas.openxmlformats.org/officeDocument/2006/relationships/hyperlink" Target="https://www.geetest.com/en/article/how-to-prevent-ecommerce-fraud-2025" TargetMode="External"/><Relationship Id="rId11" Type="http://schemas.openxmlformats.org/officeDocument/2006/relationships/hyperlink" Target="https://sanctuspay.com/top-strategies-to-prevent-payment-fraud-for-your-business/" TargetMode="External"/><Relationship Id="rId12" Type="http://schemas.openxmlformats.org/officeDocument/2006/relationships/hyperlink" Target="https://paymentsecurityguide.com/latest-scams-targeting-small-businesses-in-payments-2025-update/" TargetMode="External"/><Relationship Id="rId13" Type="http://schemas.openxmlformats.org/officeDocument/2006/relationships/hyperlink" Target="https://www.uschamber.com/co/run/finance/prevent-credit-card-scams" TargetMode="External"/><Relationship Id="rId14" Type="http://schemas.openxmlformats.org/officeDocument/2006/relationships/hyperlink" Target="https://www.mastercard.com/us/en/news-and-trends/Insights/2025/scam-websites-fraudulent-transactions.html" TargetMode="External"/><Relationship Id="rId15" Type="http://schemas.openxmlformats.org/officeDocument/2006/relationships/hyperlink" Target="https://durangomerchantservices.com/2025-ecommerce-fraud-trends-what-high-risk-merchants-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