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firms turn to advanced network detection strategies to meet PCI DSS v4.0.1 requirements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Organizations that process cardholder data face a tightening regulatory and threat landscape that makes network visibility and rapid detection non-negotiable. The June 2024 erratum release of PCI DSS v4.0.1 and the mandatory shift to v4.0 have sharpened the focus on continuous monitoring, logging and intrusion detection across the Cardholder Data Environment (CDE), prompting many firms to treat Network Detection and Response (NDR) as both a security imperative and a compliance enabler. </w:t>
      </w:r>
      <w:hyperlink r:id="rId9">
        <w:r>
          <w:rPr>
            <w:color w:val="0000EE"/>
            <w:u w:val="single"/>
          </w:rPr>
          <w:t>[1]</w:t>
        </w:r>
      </w:hyperlink>
      <w:hyperlink r:id="rId10">
        <w:r>
          <w:rPr>
            <w:color w:val="0000EE"/>
            <w:u w:val="single"/>
          </w:rPr>
          <w:t>[2]</w:t>
        </w:r>
      </w:hyperlink>
      <w:r/>
    </w:p>
    <w:p>
      <w:r/>
      <w:r>
        <w:t xml:space="preserve">PCI DSS v4.0.1 reinforces the standard’s 12 requirement areas, and industry guidance stresses that controls for network security, logging, access control and regular testing must be demonstrably effective. According to a standard overview, organisations must be prepared to show continuous, auditable evidence that access to cardholder systems is logged and reviewed, and that defensive technologies detect and contain malicious activity. </w:t>
      </w:r>
      <w:hyperlink r:id="rId10">
        <w:r>
          <w:rPr>
            <w:color w:val="0000EE"/>
            <w:u w:val="single"/>
          </w:rPr>
          <w:t>[2]</w:t>
        </w:r>
      </w:hyperlink>
      <w:hyperlink r:id="rId11">
        <w:r>
          <w:rPr>
            <w:color w:val="0000EE"/>
            <w:u w:val="single"/>
          </w:rPr>
          <w:t>[3]</w:t>
        </w:r>
      </w:hyperlink>
      <w:r/>
    </w:p>
    <w:p>
      <w:r/>
      <w:r>
        <w:t xml:space="preserve">Traditional perimeter-centric tools , firewalls and classic intrusion detection/prevention systems , frequently fall short because they either lack deep protocol and payload visibility or generate untenable volumes of low‑fidelity alerts. The practical gap between “logging” and “actionable detection” is why many financial services firms are adopting NDR: solutions that analyse packet and flow data with behavioural analytics, machine learning and threat intelligence to detect anomalies in real time. </w:t>
      </w:r>
      <w:hyperlink r:id="rId9">
        <w:r>
          <w:rPr>
            <w:color w:val="0000EE"/>
            <w:u w:val="single"/>
          </w:rPr>
          <w:t>[1]</w:t>
        </w:r>
      </w:hyperlink>
      <w:hyperlink r:id="rId11">
        <w:r>
          <w:rPr>
            <w:color w:val="0000EE"/>
            <w:u w:val="single"/>
          </w:rPr>
          <w:t>[3]</w:t>
        </w:r>
      </w:hyperlink>
      <w:r/>
    </w:p>
    <w:p>
      <w:r/>
      <w:r>
        <w:t xml:space="preserve">NDR maps directly to several core PCI requirements. It augments Requirement 10 by automating log review and surfacing anomalous network events; it fulfils much of the intent of Requirement 11 by providing IDS/IPS‑class detection across perimeter and internal CDE boundaries; and it supports segmentation, encryption verification and incident response obligations under Requirements 4, 11 and 12 respectively. In practice, high‑fidelity NDR alerts make it easier to demonstrate to assessors that detections are both occurring and being acted upon. </w:t>
      </w:r>
      <w:hyperlink r:id="rId9">
        <w:r>
          <w:rPr>
            <w:color w:val="0000EE"/>
            <w:u w:val="single"/>
          </w:rPr>
          <w:t>[1]</w:t>
        </w:r>
      </w:hyperlink>
      <w:hyperlink r:id="rId11">
        <w:r>
          <w:rPr>
            <w:color w:val="0000EE"/>
            <w:u w:val="single"/>
          </w:rPr>
          <w:t>[3]</w:t>
        </w:r>
      </w:hyperlink>
      <w:r/>
    </w:p>
    <w:p>
      <w:r/>
      <w:r>
        <w:t xml:space="preserve">In cloud deployments, Azure supplies the capture mechanisms that underpin NDR. Azure Virtual Network TAP (VTAP) can mirror full packet streams, VNET Flow Logs record comprehensive flow metadata, and Traffic Analytics converts flow data into searchable insights. Together these native capabilities provide the “raw material” , full‑fidelity packets and durable flow records , that third‑party NDR engines, SIEMs and incident response workflows need to operate effectively. </w:t>
      </w:r>
      <w:hyperlink r:id="rId9">
        <w:r>
          <w:rPr>
            <w:color w:val="0000EE"/>
            <w:u w:val="single"/>
          </w:rPr>
          <w:t>[1]</w:t>
        </w:r>
      </w:hyperlink>
      <w:r/>
    </w:p>
    <w:p>
      <w:r/>
      <w:r>
        <w:t xml:space="preserve">Flow logs and Traffic Analytics serve complementary compliance roles: flow data forms a durable audit trail that answers “who talked to what and when”, while Traffic Analytics offers quick operational dashboards to help satisfy daily review requirements. However, Azure’s native tools are not a substitute for deep packet inspection and sophisticated behavioural detection; they are the enablers that, when combined with advanced analytics, deliver the detection depth regulators expect. </w:t>
      </w:r>
      <w:hyperlink r:id="rId9">
        <w:r>
          <w:rPr>
            <w:color w:val="0000EE"/>
            <w:u w:val="single"/>
          </w:rPr>
          <w:t>[1]</w:t>
        </w:r>
      </w:hyperlink>
      <w:r/>
    </w:p>
    <w:p>
      <w:r/>
      <w:r>
        <w:t xml:space="preserve">Third‑party NDR platforms add the specialised analytics layer. Vendors fall into functional groups: packet brokers that optimise and distribute mirrors at scale; DPI and protocol‑analysis engines that decode application protocols and flag risky payloads; AI‑driven behavioural platforms that establish baselines and surface subtle deviations; and managed NDR services that combine sensors with 24/7 analyst review. Each approach has trade‑offs , from scalability and explainability to operational overhead , but together they address threats that basic flow analysis would miss, such as payload‑level exfiltration or novel beaconing behaviour. </w:t>
      </w:r>
      <w:hyperlink r:id="rId9">
        <w:r>
          <w:rPr>
            <w:color w:val="0000EE"/>
            <w:u w:val="single"/>
          </w:rPr>
          <w:t>[1]</w:t>
        </w:r>
      </w:hyperlink>
      <w:r/>
    </w:p>
    <w:p>
      <w:r/>
      <w:r>
        <w:t xml:space="preserve">Microsoft Sentinel and Defender for Cloud occupy complementary roles. Sentinel excels at log aggregation, correlation and playbook‑driven orchestration, making it a powerful “nerve centre” for incident management and evidence collection; but it lacks native deep‑packet analysis and is therefore best paired with an NDR sensor for network‑level detections. Defender for Cloud provides a continuous posture and host‑level detection layer, mapping configuration hygiene to PCI controls and supplying file integrity, vulnerability scanning and other assertions useful in an assessment. Neither product alone fully replaces a dedicated NDR, but together they form a robust layered control set. </w:t>
      </w:r>
      <w:hyperlink r:id="rId9">
        <w:r>
          <w:rPr>
            <w:color w:val="0000EE"/>
            <w:u w:val="single"/>
          </w:rPr>
          <w:t>[1]</w:t>
        </w:r>
      </w:hyperlink>
      <w:r/>
    </w:p>
    <w:p>
      <w:r/>
      <w:r>
        <w:t xml:space="preserve">Financial sector practitioners and vendors also emphasise wider controls that complement NDR. Asset discovery and inventory tools improve scope accuracy and vulnerability targeting; data‑centric controls and DLP reduce risk of PANs leaking in plaintext; and unified endpoint and zero‑trust access technologies shrink the attack surface that NDR must observe. Industry providers highlight automation and machine learning for scale, while managed services offer human review to ensure alerts are triaged and remediated promptly , an important point where compliance demands demonstrable response workflows. </w:t>
      </w:r>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The pragmatic conclusion for financial services is a layered architecture: use Azure VTAP, VNET Flow Logs and Traffic Analytics to capture and retain traffic and flows; deploy an advanced NDR platform (or managed NDR) to perform deep inspection and generate high‑fidelity alerts; and centralise orchestration, correlation and automated response in Sentinel while maintaining posture and host detections with Defender for Cloud. This combination addresses PCI DSS v4.0.1’s logging, detection and response expectations and shifts the organisation from minimal compliance to resilient security that materially reduces the risk of cardholder data compromise.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(Microsoft Tech Community) - Paragraph 1, Paragraph 3, Paragraph 4, Paragraph 5, Paragraph 6, Paragraph 7, Paragraph 8, Paragraph 9, Paragraph 10</w:t>
      </w:r>
      <w:r/>
    </w:p>
    <w:p>
      <w:pPr>
        <w:pStyle w:val="ListBullet"/>
        <w:spacing w:line="240" w:lineRule="auto"/>
        <w:ind w:left="720"/>
      </w:pPr>
      <w:r/>
      <w:hyperlink r:id="rId10">
        <w:r>
          <w:rPr>
            <w:color w:val="0000EE"/>
            <w:u w:val="single"/>
          </w:rPr>
          <w:t>[2]</w:t>
        </w:r>
      </w:hyperlink>
      <w:r>
        <w:t xml:space="preserve"> (Tenable) - Paragraph 1, Paragraph 2, Paragraph 10</w:t>
      </w:r>
      <w:r/>
    </w:p>
    <w:p>
      <w:pPr>
        <w:pStyle w:val="ListBullet"/>
        <w:spacing w:line="240" w:lineRule="auto"/>
        <w:ind w:left="720"/>
      </w:pPr>
      <w:r/>
      <w:hyperlink r:id="rId11">
        <w:r>
          <w:rPr>
            <w:color w:val="0000EE"/>
            <w:u w:val="single"/>
          </w:rPr>
          <w:t>[3]</w:t>
        </w:r>
      </w:hyperlink>
      <w:r>
        <w:t xml:space="preserve"> (CrowdStrike) - Paragraph 2, Paragraph 4, Paragraph 10</w:t>
      </w:r>
      <w:r/>
    </w:p>
    <w:p>
      <w:pPr>
        <w:pStyle w:val="ListBullet"/>
        <w:spacing w:line="240" w:lineRule="auto"/>
        <w:ind w:left="720"/>
      </w:pPr>
      <w:r/>
      <w:hyperlink r:id="rId12">
        <w:r>
          <w:rPr>
            <w:color w:val="0000EE"/>
            <w:u w:val="single"/>
          </w:rPr>
          <w:t>[4]</w:t>
        </w:r>
      </w:hyperlink>
      <w:r>
        <w:t xml:space="preserve"> (Kitecyber) - Paragraph 9</w:t>
      </w:r>
      <w:r/>
    </w:p>
    <w:p>
      <w:pPr>
        <w:pStyle w:val="ListBullet"/>
        <w:spacing w:line="240" w:lineRule="auto"/>
        <w:ind w:left="720"/>
      </w:pPr>
      <w:r/>
      <w:hyperlink r:id="rId13">
        <w:r>
          <w:rPr>
            <w:color w:val="0000EE"/>
            <w:u w:val="single"/>
          </w:rPr>
          <w:t>[5]</w:t>
        </w:r>
      </w:hyperlink>
      <w:r>
        <w:t xml:space="preserve"> (Netarx) - Paragraph 9</w:t>
      </w:r>
      <w:r/>
    </w:p>
    <w:p>
      <w:pPr>
        <w:pStyle w:val="ListBullet"/>
        <w:spacing w:line="240" w:lineRule="auto"/>
        <w:ind w:left="720"/>
      </w:pPr>
      <w:r/>
      <w:hyperlink r:id="rId14">
        <w:r>
          <w:rPr>
            <w:color w:val="0000EE"/>
            <w:u w:val="single"/>
          </w:rPr>
          <w:t>[6]</w:t>
        </w:r>
      </w:hyperlink>
      <w:r>
        <w:t xml:space="preserve"> (Nightfall) - Paragraph 9</w:t>
      </w:r>
      <w:r/>
    </w:p>
    <w:p>
      <w:pPr>
        <w:pStyle w:val="ListBullet"/>
        <w:spacing w:line="240" w:lineRule="auto"/>
        <w:ind w:left="720"/>
      </w:pPr>
      <w:r/>
      <w:hyperlink r:id="rId15">
        <w:r>
          <w:rPr>
            <w:color w:val="0000EE"/>
            <w:u w:val="single"/>
          </w:rPr>
          <w:t>[7]</w:t>
        </w:r>
      </w:hyperlink>
      <w:r>
        <w:t xml:space="preserve"> (RunZero)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https://techcommunity.microsoft.com/blog/azurenetworkingblog/network-detection-and-response-ndr-in-financial-services/4472515</w:t>
        </w:r>
      </w:hyperlink>
      <w:r>
        <w:t xml:space="preserve"> - Please view link - unable to able to access data</w:t>
      </w:r>
      <w:r/>
    </w:p>
    <w:p>
      <w:pPr>
        <w:pStyle w:val="ListNumber"/>
        <w:spacing w:line="240" w:lineRule="auto"/>
        <w:ind w:left="720"/>
      </w:pPr>
      <w:r/>
      <w:hyperlink r:id="rId10">
        <w:r>
          <w:rPr>
            <w:color w:val="0000EE"/>
            <w:u w:val="single"/>
          </w:rPr>
          <w:t>https://docs.tenable.com/cyber-exposure-studies/pci-dss/Content/Overview.htm</w:t>
        </w:r>
      </w:hyperlink>
      <w:r>
        <w:t xml:space="preserve"> - This document provides an overview of the Payment Card Industry Data Security Standard (PCI DSS) v4.0, detailing its 12 main requirements and six control objectives. It highlights the importance of these standards in ensuring secure environments for organizations that handle credit card information. The document also notes the transition from PCI DSS v3.2.1 to v4.0, emphasizing the mandatory compliance with version 4.0 starting March 31, 2025. Additionally, it mentions the release of PCI DSS v4.0.1 on June 11, 2024, which includes minor corrections without adding or removing any requirements.</w:t>
      </w:r>
      <w:r/>
    </w:p>
    <w:p>
      <w:pPr>
        <w:pStyle w:val="ListNumber"/>
        <w:spacing w:line="240" w:lineRule="auto"/>
        <w:ind w:left="720"/>
      </w:pPr>
      <w:r/>
      <w:hyperlink r:id="rId11">
        <w:r>
          <w:rPr>
            <w:color w:val="0000EE"/>
            <w:u w:val="single"/>
          </w:rPr>
          <w:t>https://www.crowdstrike.com/en-us/cybersecurity-101/data-protection/pci-dss-requirements/</w:t>
        </w:r>
      </w:hyperlink>
      <w:r>
        <w:t xml:space="preserve"> - CrowdStrike outlines the 12 requirements of PCI DSS v4.0, focusing on areas such as network security, data protection, access control, and monitoring. The document emphasizes the necessity for organizations to implement robust security measures to protect cardholder data. It provides insights into specific requirements, including the need for regular testing of security systems and networks, as well as the importance of maintaining comprehensive information security policies and programs. The guide serves as a resource for understanding and achieving PCI DSS compliance.</w:t>
      </w:r>
      <w:r/>
    </w:p>
    <w:p>
      <w:pPr>
        <w:pStyle w:val="ListNumber"/>
        <w:spacing w:line="240" w:lineRule="auto"/>
        <w:ind w:left="720"/>
      </w:pPr>
      <w:r/>
      <w:hyperlink r:id="rId12">
        <w:r>
          <w:rPr>
            <w:color w:val="0000EE"/>
            <w:u w:val="single"/>
          </w:rPr>
          <w:t>https://www.kitecyber.com/compliance/pci-dss/</w:t>
        </w:r>
      </w:hyperlink>
      <w:r>
        <w:t xml:space="preserve"> - Kitecyber offers PCI DSS compliance solutions tailored for financial businesses, addressing challenges like SaaS sprawl, unsecured internet access, and weak endpoint security. The company highlights the risks associated with non-compliance, such as financial penalties and reputational damage. Their services include Unified Endpoint Management (UEM), data protection, Zero Trust Private Access (ZTPA), and Secure Web Gateway (SWG). These solutions aim to streamline compliance through automation, provide data visibility, minimize risks, and unify security measures to protect sensitive cardholder data.</w:t>
      </w:r>
      <w:r/>
    </w:p>
    <w:p>
      <w:pPr>
        <w:pStyle w:val="ListNumber"/>
        <w:spacing w:line="240" w:lineRule="auto"/>
        <w:ind w:left="720"/>
      </w:pPr>
      <w:r/>
      <w:hyperlink r:id="rId13">
        <w:r>
          <w:rPr>
            <w:color w:val="0000EE"/>
            <w:u w:val="single"/>
          </w:rPr>
          <w:t>https://www.netarx.com/solutions/pci-dss</w:t>
        </w:r>
      </w:hyperlink>
      <w:r>
        <w:t xml:space="preserve"> - Netarx provides AI-enhanced protection for cardholder data, focusing on safeguarding against AI-generated social engineering attacks like deepfake voice and advanced phishing. Their solutions are designed to detect and neutralize these sophisticated threats, which can bypass traditional security controls and lead to data breaches. By offering a cross-channel security framework, Netarx helps organizations fortify their PCI DSS compliance posture, ensuring the protection of sensitive information from emerging and advanced attack vectors.</w:t>
      </w:r>
      <w:r/>
    </w:p>
    <w:p>
      <w:pPr>
        <w:pStyle w:val="ListNumber"/>
        <w:spacing w:line="240" w:lineRule="auto"/>
        <w:ind w:left="720"/>
      </w:pPr>
      <w:r/>
      <w:hyperlink r:id="rId14">
        <w:r>
          <w:rPr>
            <w:color w:val="0000EE"/>
            <w:u w:val="single"/>
          </w:rPr>
          <w:t>https://www.nightfall.ai/solutions/automate-pci-and-pii-compliance</w:t>
        </w:r>
      </w:hyperlink>
      <w:r>
        <w:t xml:space="preserve"> - Nightfall AI offers solutions to automate PCI DSS compliance and protect customer Personally Identifiable Information (PII). Their platform enables organizations to discover, classify, and remove sensitive data across various environments, ensuring compliance with leading standards like PCI DSS. Features include machine learning-based detection, high-accuracy alerting, and agentless deployment, providing full visibility into sensitive data without blind spots. Nightfall's solutions aim to simplify compliance tasks and enhance data security for modern organizations.</w:t>
      </w:r>
      <w:r/>
    </w:p>
    <w:p>
      <w:pPr>
        <w:pStyle w:val="ListNumber"/>
        <w:spacing w:line="240" w:lineRule="auto"/>
        <w:ind w:left="720"/>
      </w:pPr>
      <w:r/>
      <w:hyperlink r:id="rId15">
        <w:r>
          <w:rPr>
            <w:color w:val="0000EE"/>
            <w:u w:val="single"/>
          </w:rPr>
          <w:t>https://www.runzero.com/compliance/pci-dss/</w:t>
        </w:r>
      </w:hyperlink>
      <w:r>
        <w:t xml:space="preserve"> - RunZero supports PCI DSS compliance by providing tools for asset visibility, inventory management, and vulnerability discovery. Their platform enables organizations to protect environments, detect events, and respond to incidents, ensuring compliance as operations and threats evolve. RunZero addresses various PCI DSS provisions related to network security, secure configurations, data protection, and access control. By integrating multiple security controls, programs, and policies, RunZero contributes to a comprehensive approach to achieving PCI DSS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ommunity.microsoft.com/blog/azurenetworkingblog/network-detection-and-response-ndr-in-financial-services/4472515" TargetMode="External"/><Relationship Id="rId10" Type="http://schemas.openxmlformats.org/officeDocument/2006/relationships/hyperlink" Target="https://docs.tenable.com/cyber-exposure-studies/pci-dss/Content/Overview.htm" TargetMode="External"/><Relationship Id="rId11" Type="http://schemas.openxmlformats.org/officeDocument/2006/relationships/hyperlink" Target="https://www.crowdstrike.com/en-us/cybersecurity-101/data-protection/pci-dss-requirements/" TargetMode="External"/><Relationship Id="rId12" Type="http://schemas.openxmlformats.org/officeDocument/2006/relationships/hyperlink" Target="https://www.kitecyber.com/compliance/pci-dss/" TargetMode="External"/><Relationship Id="rId13" Type="http://schemas.openxmlformats.org/officeDocument/2006/relationships/hyperlink" Target="https://www.netarx.com/solutions/pci-dss" TargetMode="External"/><Relationship Id="rId14" Type="http://schemas.openxmlformats.org/officeDocument/2006/relationships/hyperlink" Target="https://www.nightfall.ai/solutions/automate-pci-and-pii-compliance" TargetMode="External"/><Relationship Id="rId15" Type="http://schemas.openxmlformats.org/officeDocument/2006/relationships/hyperlink" Target="https://www.runzero.com/compliance/pci-d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