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unlocks new AI-driven platform expansion for independent software vendors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Salesforce has opened a wide new commercial door for independent software vendors by making next-generation marketing and data management capabilities, plus a reworked licensing model, generally available to ISVs. According to the announcement on the Salesforce blog, the move lets partners embed the same AI‑native architecture that underpins Salesforce’s own applications , Agentforce 360 , directly into their products, bringing unified segmentation, multi‑channel orchestration and predictive personalisation into partner solutions. </w:t>
      </w:r>
      <w:hyperlink r:id="rId9">
        <w:r>
          <w:rPr>
            <w:color w:val="0000EE"/>
            <w:u w:val="single"/>
          </w:rPr>
          <w:t>[1]</w:t>
        </w:r>
      </w:hyperlink>
      <w:hyperlink r:id="rId10">
        <w:r>
          <w:rPr>
            <w:color w:val="0000EE"/>
            <w:u w:val="single"/>
          </w:rPr>
          <w:t>[3]</w:t>
        </w:r>
      </w:hyperlink>
      <w:r/>
    </w:p>
    <w:p>
      <w:r/>
      <w:r>
        <w:t xml:space="preserve">The vendor frames the offering as the most significant platform expansion for ISV partners in nearly two decades, and positions Agentforce 360 as a way to “bypass years of foundational engineering” by providing a production‑grade, AI‑native foundation. Salesforce’s partner pages add that this foundation includes unified tooling for agent development, model choice, enterprise security, open APIs and native extensibility, enabling partners to focus on product innovation rather than infrastructure. </w:t>
      </w:r>
      <w:hyperlink r:id="rId9">
        <w:r>
          <w:rPr>
            <w:color w:val="0000EE"/>
            <w:u w:val="single"/>
          </w:rPr>
          <w:t>[1]</w:t>
        </w:r>
      </w:hyperlink>
      <w:hyperlink r:id="rId11">
        <w:r>
          <w:rPr>
            <w:color w:val="0000EE"/>
            <w:u w:val="single"/>
          </w:rPr>
          <w:t>[2]</w:t>
        </w:r>
      </w:hyperlink>
      <w:hyperlink r:id="rId12">
        <w:r>
          <w:rPr>
            <w:color w:val="0000EE"/>
            <w:u w:val="single"/>
          </w:rPr>
          <w:t>[5]</w:t>
        </w:r>
      </w:hyperlink>
      <w:r/>
    </w:p>
    <w:p>
      <w:r/>
      <w:r>
        <w:t xml:space="preserve">Central to the rollout is Next Gen Marketing Cloud for ISVs, delivered in Growth and Advanced editions. The Growth edition supplies a unified automation layer for lifecycle journeys, rapid pipeline acceleration with landing page and form templates, Data Cloud segments and intelligent content authoring that reads app data to draft richer messaging. The Advanced edition layers on agent‑powered marketing, predictive intelligence, real‑time optimisation and the ability for partners to surface proprietary scoring or recommendation models inside the marketing workflow. Salesforce says these features allow partners to embed domain‑specific agents that can execute complex, industry‑specific actions. </w:t>
      </w:r>
      <w:hyperlink r:id="rId9">
        <w:r>
          <w:rPr>
            <w:color w:val="0000EE"/>
            <w:u w:val="single"/>
          </w:rPr>
          <w:t>[1]</w:t>
        </w:r>
      </w:hyperlink>
      <w:r/>
    </w:p>
    <w:p>
      <w:r/>
      <w:r>
        <w:t xml:space="preserve">Salesforce Personalization is offered alongside Marketing Cloud to provide adaptive, cross‑channel experiences. The platform’s capabilities include agentic conversational entry points for web personalisation, real‑time context and decisioning, and unified measurement across web, email and mobile so that every interaction feeds back into future personalisation. Salesforce positions this as a way for ISVs to deliver continuous, consistent customer experiences across touchpoints. </w:t>
      </w:r>
      <w:hyperlink r:id="rId9">
        <w:r>
          <w:rPr>
            <w:color w:val="0000EE"/>
            <w:u w:val="single"/>
          </w:rPr>
          <w:t>[1]</w:t>
        </w:r>
      </w:hyperlink>
      <w:r/>
    </w:p>
    <w:p>
      <w:r/>
      <w:r>
        <w:t xml:space="preserve">To help partners manage data scale and regulatory demands, Salesforce also made Archive for ISVs generally available. The Archive feature automates migration and secure purging of inactive records off the core platform, combined with dashboards for monitoring data volumes, usage and archival policy enforcement. Salesforce frames Archive as both a performance and compliance lever that lets partners preserve historical data for analytics and model training without degrading live production performance. </w:t>
      </w:r>
      <w:hyperlink r:id="rId9">
        <w:r>
          <w:rPr>
            <w:color w:val="0000EE"/>
            <w:u w:val="single"/>
          </w:rPr>
          <w:t>[1]</w:t>
        </w:r>
      </w:hyperlink>
      <w:r/>
    </w:p>
    <w:p>
      <w:r/>
      <w:r>
        <w:t xml:space="preserve">Complementing product availability is a new licensing structure targeted at lowering adoption friction. The Platform Login + Developer Credits model shifts commercial focus from full user seats to login‑based access and consumption credits that partners can embed into their packaging, which Salesforce says simplifies costs for broad customer deployment and supports AI‑powered workflows across organisations. Salesforce partner materials describe a broader set of provisioning and commercial controls designed to give ISVs flexibility when monetising agentic solutions. </w:t>
      </w:r>
      <w:hyperlink r:id="rId9">
        <w:r>
          <w:rPr>
            <w:color w:val="0000EE"/>
            <w:u w:val="single"/>
          </w:rPr>
          <w:t>[1]</w:t>
        </w:r>
      </w:hyperlink>
      <w:hyperlink r:id="rId11">
        <w:r>
          <w:rPr>
            <w:color w:val="0000EE"/>
            <w:u w:val="single"/>
          </w:rPr>
          <w:t>[2]</w:t>
        </w:r>
      </w:hyperlink>
      <w:r/>
    </w:p>
    <w:p>
      <w:r/>
      <w:r>
        <w:t xml:space="preserve">The technology ecosystem around Agentforce 360 has also deepened. Industry reporting notes expanded model partnerships with third parties such as OpenAI and Anthropic, with integrations that bring advanced models into Salesforce tools and allow users to build custom AI assets that operate over their data. Reuters reported that the platform now offers direct access through ChatGPT and integrates newer GPT and Claude family models to enhance analytics, visualisation and bespoke tool creation within the Agentforce environment. That development reinforces Salesforce’s claim that partners can leverage a mix of large model vendors while retaining domain control over data and decisioning. </w:t>
      </w:r>
      <w:hyperlink r:id="rId13">
        <w:r>
          <w:rPr>
            <w:color w:val="0000EE"/>
            <w:u w:val="single"/>
          </w:rPr>
          <w:t>[4]</w:t>
        </w:r>
      </w:hyperlink>
      <w:r/>
    </w:p>
    <w:p>
      <w:r/>
      <w:r>
        <w:t xml:space="preserve">For ISVs the changes tighten the line between product and platform: marketing automation, personalisation and data governance can now be shipped as embedded, revenue‑generating features rather than separate integrations. Industry observers and Salesforce’s own partner guidance stress that success will depend on how clearly partners translate embedded AI functionality into differentiated, measurable outcomes for customers, and on their ability to balance proprietary logic with the platform’s agentic capabilities. Salesforce has published partner resources and developer guides to help ISVs begin packaging these capabilities into commercial solutions. </w:t>
      </w:r>
      <w:hyperlink r:id="rId9">
        <w:r>
          <w:rPr>
            <w:color w:val="0000EE"/>
            <w:u w:val="single"/>
          </w:rPr>
          <w:t>[1]</w:t>
        </w:r>
      </w:hyperlink>
      <w:hyperlink r:id="rId11">
        <w:r>
          <w:rPr>
            <w:color w:val="0000EE"/>
            <w:u w:val="single"/>
          </w:rPr>
          <w:t>[2]</w:t>
        </w:r>
      </w:hyperlink>
      <w:hyperlink r:id="rId14">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(Salesforce blog) - Paragraph 1, Paragraph 3, Paragraph 4, Paragraph 5, Paragraph 6, Paragraph 8</w:t>
      </w:r>
      <w:r/>
    </w:p>
    <w:p>
      <w:pPr>
        <w:pStyle w:val="ListBullet"/>
        <w:spacing w:line="240" w:lineRule="auto"/>
        <w:ind w:left="720"/>
      </w:pPr>
      <w:r/>
      <w:hyperlink r:id="rId11">
        <w:r>
          <w:rPr>
            <w:color w:val="0000EE"/>
            <w:u w:val="single"/>
          </w:rPr>
          <w:t>[2]</w:t>
        </w:r>
      </w:hyperlink>
      <w:r>
        <w:t xml:space="preserve"> (Salesforce partners page) - Paragraph 2, Paragraph 6, Paragraph 8</w:t>
      </w:r>
      <w:r/>
    </w:p>
    <w:p>
      <w:pPr>
        <w:pStyle w:val="ListBullet"/>
        <w:spacing w:line="240" w:lineRule="auto"/>
        <w:ind w:left="720"/>
      </w:pPr>
      <w:r/>
      <w:hyperlink r:id="rId10">
        <w:r>
          <w:rPr>
            <w:color w:val="0000EE"/>
            <w:u w:val="single"/>
          </w:rPr>
          <w:t>[3]</w:t>
        </w:r>
      </w:hyperlink>
      <w:r>
        <w:t xml:space="preserve"> (Salesforce news) - Paragraph 1</w:t>
      </w:r>
      <w:r/>
    </w:p>
    <w:p>
      <w:pPr>
        <w:pStyle w:val="ListBullet"/>
        <w:spacing w:line="240" w:lineRule="auto"/>
        <w:ind w:left="720"/>
      </w:pPr>
      <w:r/>
      <w:hyperlink r:id="rId13">
        <w:r>
          <w:rPr>
            <w:color w:val="0000EE"/>
            <w:u w:val="single"/>
          </w:rPr>
          <w:t>[4]</w:t>
        </w:r>
      </w:hyperlink>
      <w:r>
        <w:t xml:space="preserve"> (Reuters) - Paragraph 7</w:t>
      </w:r>
      <w:r/>
    </w:p>
    <w:p>
      <w:pPr>
        <w:pStyle w:val="ListBullet"/>
        <w:spacing w:line="240" w:lineRule="auto"/>
        <w:ind w:left="720"/>
      </w:pPr>
      <w:r/>
      <w:hyperlink r:id="rId12">
        <w:r>
          <w:rPr>
            <w:color w:val="0000EE"/>
            <w:u w:val="single"/>
          </w:rPr>
          <w:t>[5]</w:t>
        </w:r>
      </w:hyperlink>
      <w:r>
        <w:t xml:space="preserve"> (Salesforce Agentforce page) - Paragraph 2</w:t>
      </w:r>
      <w:r/>
    </w:p>
    <w:p>
      <w:pPr>
        <w:pStyle w:val="ListBullet"/>
        <w:spacing w:line="240" w:lineRule="auto"/>
        <w:ind w:left="720"/>
      </w:pPr>
      <w:r/>
      <w:hyperlink r:id="rId14">
        <w:r>
          <w:rPr>
            <w:color w:val="0000EE"/>
            <w:u w:val="single"/>
          </w:rPr>
          <w:t>[7]</w:t>
        </w:r>
      </w:hyperlink>
      <w:r>
        <w:t xml:space="preserve"> (Salesforce blog: Data 360 for ISVs)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https://www.salesforce.com/blog/new-next-gen-marketing-cloud-archive-and-new-licensing-now-generally-available-for-isvs/?bc=DB</w:t>
        </w:r>
      </w:hyperlink>
      <w:r>
        <w:t xml:space="preserve"> - Please view link - unable to able to access data</w:t>
      </w:r>
      <w:r/>
    </w:p>
    <w:p>
      <w:pPr>
        <w:pStyle w:val="ListNumber"/>
        <w:spacing w:line="240" w:lineRule="auto"/>
        <w:ind w:left="720"/>
      </w:pPr>
      <w:r/>
      <w:hyperlink r:id="rId11">
        <w:r>
          <w:rPr>
            <w:color w:val="0000EE"/>
            <w:u w:val="single"/>
          </w:rPr>
          <w:t>https://www.salesforce.com/partners/build-on-salesforce</w:t>
        </w:r>
      </w:hyperlink>
      <w:r>
        <w:t xml:space="preserve"> - Salesforce's 'Build, scale &amp; monetize on an AI native foundation with Agentforce' page outlines how Independent Software Vendor (ISV) partners can leverage Agentforce 360 to develop AI-native applications. It details the unified platform access, agentic capabilities, no-code to pro-code builders, enterprise-grade security, global operations, identity and access control, open API and native extensibility, AI model choice, zero-copy partner network, flexible commercial models, and full provisioning controls available to partners. The page emphasizes the benefits of building on Agentforce 360, including eliminating infrastructure overhead and focusing on product innovation.</w:t>
      </w:r>
      <w:r/>
    </w:p>
    <w:p>
      <w:pPr>
        <w:pStyle w:val="ListNumber"/>
        <w:spacing w:line="240" w:lineRule="auto"/>
        <w:ind w:left="720"/>
      </w:pPr>
      <w:r/>
      <w:hyperlink r:id="rId10">
        <w:r>
          <w:rPr>
            <w:color w:val="0000EE"/>
            <w:u w:val="single"/>
          </w:rPr>
          <w:t>https://www.salesforce.com/news/stories/opening-agentforce-360-to-builders/</w:t>
        </w:r>
      </w:hyperlink>
      <w:r>
        <w:t xml:space="preserve"> - Salesforce's announcement of opening Agentforce 360 to builders highlights the significant expansion of the Salesforce Platform for ISV partners. For the first time, ISVs can embed the full Agentforce 360 as the foundation for their agentic applications, allowing them to build and commercially distribute their own AI agents and applications using core product capabilities previously available only to Salesforce customers. The announcement details the product features now accessible to partners, including Agentforce 360, Agentforce Marketing, Agentforce Financial Services, Agentforce Automotive, Trusted Services, Salesforce Foundations, and Data 360.</w:t>
      </w:r>
      <w:r/>
    </w:p>
    <w:p>
      <w:pPr>
        <w:pStyle w:val="ListNumber"/>
        <w:spacing w:line="240" w:lineRule="auto"/>
        <w:ind w:left="720"/>
      </w:pPr>
      <w:r/>
      <w:hyperlink r:id="rId13">
        <w:r>
          <w:rPr>
            <w:color w:val="0000EE"/>
            <w:u w:val="single"/>
          </w:rPr>
          <w:t>https://www.reuters.com/business/salesforce-deepens-ai-ties-with-openai-anthropic-power-agentforce-platform-2025-10-14/</w:t>
        </w:r>
      </w:hyperlink>
      <w:r>
        <w:t xml:space="preserve"> - Reuters reports on Salesforce's expanded partnerships with OpenAI and Anthropic to enhance its Agentforce 360 platform by integrating advanced AI technologies. The collaboration embeds OpenAI's latest GPT-5 and Anthropic's Claude models into Salesforce’s suite of tools, including ChatGPT, Slack, and its proprietary software, enabling businesses and employees to engage with customer data and analytics more effectively. The article details how Agentforce 360 now offers direct access through ChatGPT, allowing users to work with data, create Tableau visualizations, and build custom AI tools within Salesforce.</w:t>
      </w:r>
      <w:r/>
    </w:p>
    <w:p>
      <w:pPr>
        <w:pStyle w:val="ListNumber"/>
        <w:spacing w:line="240" w:lineRule="auto"/>
        <w:ind w:left="720"/>
      </w:pPr>
      <w:r/>
      <w:hyperlink r:id="rId12">
        <w:r>
          <w:rPr>
            <w:color w:val="0000EE"/>
            <w:u w:val="single"/>
          </w:rPr>
          <w:t>https://www.salesforce.com/agentforce/</w:t>
        </w:r>
      </w:hyperlink>
      <w:r>
        <w:t xml:space="preserve"> - Salesforce's 'Agentforce: The AI Agent Platform' page introduces Agentforce 360, a platform designed to help businesses build, scale, and monetize AI-native applications. It features Agentforce Builder, which unifies drafting, testing, and deployment into a single conversational workspace, and Agent Script, offering a new way to control Agentforce by pairing deterministic workflows with flexible large language model reasoning. The page emphasizes the platform's capabilities in enabling enterprises to create AI agents that are both precise and adaptable.</w:t>
      </w:r>
      <w:r/>
    </w:p>
    <w:p>
      <w:pPr>
        <w:pStyle w:val="ListNumber"/>
        <w:spacing w:line="240" w:lineRule="auto"/>
        <w:ind w:left="720"/>
      </w:pPr>
      <w:r/>
      <w:hyperlink r:id="rId16">
        <w:r>
          <w:rPr>
            <w:color w:val="0000EE"/>
            <w:u w:val="single"/>
          </w:rPr>
          <w:t>https://www.salesforce.com/platform/</w:t>
        </w:r>
      </w:hyperlink>
      <w:r>
        <w:t xml:space="preserve"> - Salesforce's 'Agentforce 360 Platform (Formerly Salesforce Platform)' page provides an overview of the platform's capabilities, including connecting humans, data, and AI agents on one trusted platform. It highlights features such as the Salesforce Developer’s Guide to the Winter ’26 Release, Winter ’26 Release Notes, and innovations like the foundation for building trusted AI. The page emphasizes the platform's role in empowering every employee to achieve more and every company to operate with intelligence and speed.</w:t>
      </w:r>
      <w:r/>
    </w:p>
    <w:p>
      <w:pPr>
        <w:pStyle w:val="ListNumber"/>
        <w:spacing w:line="240" w:lineRule="auto"/>
        <w:ind w:left="720"/>
      </w:pPr>
      <w:r/>
      <w:hyperlink r:id="rId14">
        <w:r>
          <w:rPr>
            <w:color w:val="0000EE"/>
            <w:u w:val="single"/>
          </w:rPr>
          <w:t>https://www.salesforce.com/blog/data-360-for-isvs-is-ga-everything-you-need-to-know/</w:t>
        </w:r>
      </w:hyperlink>
      <w:r>
        <w:t xml:space="preserve"> - Salesforce's blog post 'Data 360 for ISVs is GA: Everything You Need to Know' announces the general availability of Data 360 for ISVs. The post explains how ISVs can build, package, and monetize their own full-stack agentic solutions with Agentforce and Data 360 using a consumption-based commercial model. It details how Data 360 provides the intelligent foundation for customer data, while Agentforce delivers the AI layer for proactive, automated engagement, enabling ISVs to architect and sell integrated AI-native businesses.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lesforce.com/blog/new-next-gen-marketing-cloud-archive-and-new-licensing-now-generally-available-for-isvs/?bc=DB" TargetMode="External"/><Relationship Id="rId10" Type="http://schemas.openxmlformats.org/officeDocument/2006/relationships/hyperlink" Target="https://www.salesforce.com/news/stories/opening-agentforce-360-to-builders/" TargetMode="External"/><Relationship Id="rId11" Type="http://schemas.openxmlformats.org/officeDocument/2006/relationships/hyperlink" Target="https://www.salesforce.com/partners/build-on-salesforce" TargetMode="External"/><Relationship Id="rId12" Type="http://schemas.openxmlformats.org/officeDocument/2006/relationships/hyperlink" Target="https://www.salesforce.com/agentforce/" TargetMode="External"/><Relationship Id="rId13" Type="http://schemas.openxmlformats.org/officeDocument/2006/relationships/hyperlink" Target="https://www.reuters.com/business/salesforce-deepens-ai-ties-with-openai-anthropic-power-agentforce-platform-2025-10-14/" TargetMode="External"/><Relationship Id="rId14" Type="http://schemas.openxmlformats.org/officeDocument/2006/relationships/hyperlink" Target="https://www.salesforce.com/blog/data-360-for-isvs-is-ga-everything-you-need-to-know/" TargetMode="External"/><Relationship Id="rId15" Type="http://schemas.openxmlformats.org/officeDocument/2006/relationships/hyperlink" Target="https://www.noahwire.com" TargetMode="External"/><Relationship Id="rId16" Type="http://schemas.openxmlformats.org/officeDocument/2006/relationships/hyperlink" Target="https://www.salesforce.com/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