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Insurance claims systems face urgent overhaul to meet 2026 climate disclosure demands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insurance industry is entering a compliance moment that will force a wholesale rethink of claims operations and data architecture. According to the BSA Claims Service article, regulators now require ZIP-code-level climate attribution for 2026 filings, a level of geographic and causal precision that many legacy claims systems were not designed to produce. Those systems, built to validate and pay claims quickly, typically lack the structured documentation and cause-of-loss granularity auditors and examiners will demand. </w:t>
      </w:r>
      <w:hyperlink r:id="rId9">
        <w:r>
          <w:rPr>
            <w:color w:val="0000EE"/>
            <w:u w:val="single"/>
          </w:rPr>
          <w:t>[1]</w:t>
        </w:r>
      </w:hyperlink>
      <w:hyperlink r:id="rId9">
        <w:r>
          <w:rPr>
            <w:color w:val="0000EE"/>
            <w:u w:val="single"/>
          </w:rPr>
          <w:t>[2]</w:t>
        </w:r>
      </w:hyperlink>
      <w:r/>
    </w:p>
    <w:p>
      <w:r/>
      <w:r>
        <w:t xml:space="preserve">That gap creates immediate accounting and audit risks. Industry reporting frameworks and financial statements must reconcile loss reserves with climate-specific disclosures, yet disconnected claims, finance and catastrophe-modeling systems make those reconciliations difficult. The BSA article warns that legacy cause-of-loss codes often fail to distinguish “climate-enhanced” events from ordinary weather, and that adjusters historically have not created documentation trails intended to withstand regulatory scrutiny. </w:t>
      </w:r>
      <w:hyperlink r:id="rId9">
        <w:r>
          <w:rPr>
            <w:color w:val="0000EE"/>
            <w:u w:val="single"/>
          </w:rPr>
          <w:t>[1]</w:t>
        </w:r>
      </w:hyperlink>
      <w:hyperlink r:id="rId9">
        <w:r>
          <w:rPr>
            <w:color w:val="0000EE"/>
            <w:u w:val="single"/>
          </w:rPr>
          <w:t>[2]</w:t>
        </w:r>
      </w:hyperlink>
      <w:r/>
    </w:p>
    <w:p>
      <w:r/>
      <w:r>
        <w:t xml:space="preserve">Meeting the new rules is as much organisational as it is technical. BSA recommends a 12–18 month programme of work that starts with capability inventories and governance, progresses through API-enabled system modifications and adjuster training, and concludes with end-to-end compliance testing before 2026 submissions. The piece argues cross-functional training must extend beyond claims handlers to include finance, actuaries and compliance teams because filings touch overlapping NAIC and SEC requirements. </w:t>
      </w:r>
      <w:hyperlink r:id="rId9">
        <w:r>
          <w:rPr>
            <w:color w:val="0000EE"/>
            <w:u w:val="single"/>
          </w:rPr>
          <w:t>[1]</w:t>
        </w:r>
      </w:hyperlink>
      <w:hyperlink r:id="rId9">
        <w:r>
          <w:rPr>
            <w:color w:val="0000EE"/>
            <w:u w:val="single"/>
          </w:rPr>
          <w:t>[2]</w:t>
        </w:r>
      </w:hyperlink>
      <w:r/>
    </w:p>
    <w:p>
      <w:r/>
      <w:r>
        <w:t xml:space="preserve">Carriers face choices about build versus partner. The BSA analysis presents strategic third-party administrators (TPAs) as an attractive alternative to costly internal builds, noting TPAs can deliver shared-cost technology, regulatory expertise and professional liability coverage for disclosure accuracy. Such partnerships, the article says, can accelerate readiness and spread the economics of specialised infrastructure across multiple carriers. </w:t>
      </w:r>
      <w:hyperlink r:id="rId9">
        <w:r>
          <w:rPr>
            <w:color w:val="0000EE"/>
            <w:u w:val="single"/>
          </w:rPr>
          <w:t>[1]</w:t>
        </w:r>
      </w:hyperlink>
      <w:hyperlink r:id="rId9">
        <w:r>
          <w:rPr>
            <w:color w:val="0000EE"/>
            <w:u w:val="single"/>
          </w:rPr>
          <w:t>[2]</w:t>
        </w:r>
      </w:hyperlink>
      <w:r/>
    </w:p>
    <w:p>
      <w:r/>
      <w:r>
        <w:t xml:space="preserve">Beyond mere compliance, the BSA article frames ZIP-code-level disclosure as a competitive asset. Granular attribution enables refined underwriting, pricing and portfolio optimisation by revealing localised loss patterns and emerging concentrations of exposure. When integrated with underwriting and catastrophe modelling, claims-derived climate data can inform capacity decisions, geographic diversification and customer-facing transparency initiatives. </w:t>
      </w:r>
      <w:hyperlink r:id="rId9">
        <w:r>
          <w:rPr>
            <w:color w:val="0000EE"/>
            <w:u w:val="single"/>
          </w:rPr>
          <w:t>[1]</w:t>
        </w:r>
      </w:hyperlink>
      <w:hyperlink r:id="rId9">
        <w:r>
          <w:rPr>
            <w:color w:val="0000EE"/>
            <w:u w:val="single"/>
          </w:rPr>
          <w:t>[2]</w:t>
        </w:r>
      </w:hyperlink>
      <w:r/>
    </w:p>
    <w:p>
      <w:r/>
      <w:r>
        <w:t xml:space="preserve">The regulatory landscape, however, remains contested and in flux. The SEC’s attempt to standardise climate-related disclosures has faced legal challenges and stays in the courts, and the California law requiring biennial climate-risk reporting for large firms has been paused by an appeals court. Reuters has reported on litigation over the SEC’s rulemaking, including suits alleging the agency weakened certain disclosure elements, while other reporting shows courts have stayed implementation pending judicial review. These legal developments introduce uncertainty for preparers and may change the timing or content of federal and state mandates. </w:t>
      </w:r>
      <w:hyperlink r:id="rId10">
        <w:r>
          <w:rPr>
            <w:color w:val="0000EE"/>
            <w:u w:val="single"/>
          </w:rPr>
          <w:t>[4]</w:t>
        </w:r>
      </w:hyperlink>
      <w:hyperlink r:id="rId11">
        <w:r>
          <w:rPr>
            <w:color w:val="0000EE"/>
            <w:u w:val="single"/>
          </w:rPr>
          <w:t>[5]</w:t>
        </w:r>
      </w:hyperlink>
      <w:hyperlink r:id="rId12">
        <w:r>
          <w:rPr>
            <w:color w:val="0000EE"/>
            <w:u w:val="single"/>
          </w:rPr>
          <w:t>[3]</w:t>
        </w:r>
      </w:hyperlink>
      <w:r/>
    </w:p>
    <w:p>
      <w:r/>
      <w:r>
        <w:t xml:space="preserve">State-level initiatives continue to press ahead even as federal rules are litigated. California’s SB 261 and related legislation remain influential reference points for disclosure structure and timing in 2026, with some requirements scheduled to begin that year. Legal analysis from law firms and industry commentary underscore that state bills will shape expectations for climate-risk reporting irrespective of federal outcomes,so carriers operating in multiple jurisdictions must track both sets of obligations. </w:t>
      </w:r>
      <w:hyperlink r:id="rId13">
        <w:r>
          <w:rPr>
            <w:color w:val="0000EE"/>
            <w:u w:val="single"/>
          </w:rPr>
          <w:t>[6]</w:t>
        </w:r>
      </w:hyperlink>
      <w:hyperlink r:id="rId14">
        <w:r>
          <w:rPr>
            <w:color w:val="0000EE"/>
            <w:u w:val="single"/>
          </w:rPr>
          <w:t>[7]</w:t>
        </w:r>
      </w:hyperlink>
      <w:r/>
    </w:p>
    <w:p>
      <w:r/>
      <w:r>
        <w:t xml:space="preserve">Practical preparations therefore need to be resilient to shifting legal contours. The BSA piece’s recommended quarterly roadmap, inventory and governance, API connectivity and training, quality-control builds, then full validation, offers a pragmatic timetable to reach disclosure readiness within 12–18 months. Whether achieved internally or through TPAs, carriers that treat climate attribution as an operational capability rather than a one-off reporting exercise are more likely to convert compliance into strategic advantage. </w:t>
      </w:r>
      <w:hyperlink r:id="rId9">
        <w:r>
          <w:rPr>
            <w:color w:val="0000EE"/>
            <w:u w:val="single"/>
          </w:rPr>
          <w:t>[1]</w:t>
        </w:r>
      </w:hyperlink>
      <w:hyperlink r:id="rId9">
        <w:r>
          <w:rPr>
            <w:color w:val="0000EE"/>
            <w:u w:val="single"/>
          </w:rPr>
          <w:t>[2]</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(BSA Claims Service) - Paragraph 1, Paragraph 2, Paragraph 3, Paragraph 4, Paragraph 5, Paragraph 8</w:t>
      </w:r>
      <w:r/>
    </w:p>
    <w:p>
      <w:pPr>
        <w:pStyle w:val="ListBullet"/>
        <w:spacing w:line="240" w:lineRule="auto"/>
        <w:ind w:left="720"/>
      </w:pPr>
      <w:r/>
      <w:hyperlink r:id="rId9">
        <w:r>
          <w:rPr>
            <w:color w:val="0000EE"/>
            <w:u w:val="single"/>
          </w:rPr>
          <w:t>[2]</w:t>
        </w:r>
      </w:hyperlink>
      <w:r>
        <w:t xml:space="preserve"> (BSA Claims Service summary) - Paragraph 1, Paragraph 2, Paragraph 3, Paragraph 4, Paragraph 5, Paragraph 8</w:t>
      </w:r>
      <w:r/>
    </w:p>
    <w:p>
      <w:pPr>
        <w:pStyle w:val="ListBullet"/>
        <w:spacing w:line="240" w:lineRule="auto"/>
        <w:ind w:left="720"/>
      </w:pPr>
      <w:r/>
      <w:hyperlink r:id="rId12">
        <w:r>
          <w:rPr>
            <w:color w:val="0000EE"/>
            <w:u w:val="single"/>
          </w:rPr>
          <w:t>[3]</w:t>
        </w:r>
      </w:hyperlink>
      <w:r>
        <w:t xml:space="preserve"> (AP News) - Paragraph 6</w:t>
      </w:r>
      <w:r/>
    </w:p>
    <w:p>
      <w:pPr>
        <w:pStyle w:val="ListBullet"/>
        <w:spacing w:line="240" w:lineRule="auto"/>
        <w:ind w:left="720"/>
      </w:pPr>
      <w:r/>
      <w:hyperlink r:id="rId10">
        <w:r>
          <w:rPr>
            <w:color w:val="0000EE"/>
            <w:u w:val="single"/>
          </w:rPr>
          <w:t>[4]</w:t>
        </w:r>
      </w:hyperlink>
      <w:r>
        <w:t xml:space="preserve"> (Reuters) - Paragraph 6</w:t>
      </w:r>
      <w:r/>
    </w:p>
    <w:p>
      <w:pPr>
        <w:pStyle w:val="ListBullet"/>
        <w:spacing w:line="240" w:lineRule="auto"/>
        <w:ind w:left="720"/>
      </w:pPr>
      <w:r/>
      <w:hyperlink r:id="rId11">
        <w:r>
          <w:rPr>
            <w:color w:val="0000EE"/>
            <w:u w:val="single"/>
          </w:rPr>
          <w:t>[5]</w:t>
        </w:r>
      </w:hyperlink>
      <w:r>
        <w:t xml:space="preserve"> (Reuters) - Paragraph 6</w:t>
      </w:r>
      <w:r/>
    </w:p>
    <w:p>
      <w:pPr>
        <w:pStyle w:val="ListBullet"/>
        <w:spacing w:line="240" w:lineRule="auto"/>
        <w:ind w:left="720"/>
      </w:pPr>
      <w:r/>
      <w:hyperlink r:id="rId13">
        <w:r>
          <w:rPr>
            <w:color w:val="0000EE"/>
            <w:u w:val="single"/>
          </w:rPr>
          <w:t>[6]</w:t>
        </w:r>
      </w:hyperlink>
      <w:r>
        <w:t xml:space="preserve"> (Sidley) - Paragraph 7</w:t>
      </w:r>
      <w:r/>
    </w:p>
    <w:p>
      <w:pPr>
        <w:pStyle w:val="ListBullet"/>
        <w:spacing w:line="240" w:lineRule="auto"/>
        <w:ind w:left="720"/>
      </w:pPr>
      <w:r/>
      <w:hyperlink r:id="rId14">
        <w:r>
          <w:rPr>
            <w:color w:val="0000EE"/>
            <w:u w:val="single"/>
          </w:rPr>
          <w:t>[7]</w:t>
        </w:r>
      </w:hyperlink>
      <w:r>
        <w:t xml:space="preserve"> (Antea Group)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https://www.bsaclaims.com/climate-disclosure-meets-claims-data/</w:t>
        </w:r>
      </w:hyperlink>
      <w:r>
        <w:t xml:space="preserve"> - Please view link - unable to able to access data</w:t>
      </w:r>
      <w:r/>
    </w:p>
    <w:p>
      <w:pPr>
        <w:pStyle w:val="ListNumber"/>
        <w:spacing w:line="240" w:lineRule="auto"/>
        <w:ind w:left="720"/>
      </w:pPr>
      <w:r/>
      <w:hyperlink r:id="rId9">
        <w:r>
          <w:rPr>
            <w:color w:val="0000EE"/>
            <w:u w:val="single"/>
          </w:rPr>
          <w:t>https://www.bsaclaims.com/climate-disclosure-meets-claims-data/</w:t>
        </w:r>
      </w:hyperlink>
      <w:r>
        <w:t xml:space="preserve"> - This article discusses the 2026 regulatory requirement for insurance carriers to provide ZIP-code-level climate attribution, highlighting the inadequacies of legacy claims systems in meeting this demand. It emphasizes the need for infrastructure that connects claims documentation to financial disclosures, including adjuster training and data integration. The piece also explores how granular climate data can be leveraged for portfolio optimization and competitive advantage through strategic partnerships.</w:t>
      </w:r>
      <w:r/>
    </w:p>
    <w:p>
      <w:pPr>
        <w:pStyle w:val="ListNumber"/>
        <w:spacing w:line="240" w:lineRule="auto"/>
        <w:ind w:left="720"/>
      </w:pPr>
      <w:r/>
      <w:hyperlink r:id="rId12">
        <w:r>
          <w:rPr>
            <w:color w:val="0000EE"/>
            <w:u w:val="single"/>
          </w:rPr>
          <w:t>https://www.apnews.com/article/42708d5fc7ed15001f4ac5a870eb105d</w:t>
        </w:r>
      </w:hyperlink>
      <w:r>
        <w:t xml:space="preserve"> - A U.S. appeals court has paused a California law set to take effect in January 2026, which would require large companies to report every two years on the financial risks of climate change. The law, challenged by the U.S. Chamber of Commerce, aims to enhance transparency and encourage emissions reductions but has faced legal opposition.</w:t>
      </w:r>
      <w:r/>
    </w:p>
    <w:p>
      <w:pPr>
        <w:pStyle w:val="ListNumber"/>
        <w:spacing w:line="240" w:lineRule="auto"/>
        <w:ind w:left="720"/>
      </w:pPr>
      <w:r/>
      <w:hyperlink r:id="rId10">
        <w:r>
          <w:rPr>
            <w:color w:val="0000EE"/>
            <w:u w:val="single"/>
          </w:rPr>
          <w:t>https://www.reuters.com/legal/sierra-club-sues-us-sec-weakening-climate-risk-disclosure-rules-2024-03-14/</w:t>
        </w:r>
      </w:hyperlink>
      <w:r>
        <w:t xml:space="preserve"> - The Sierra Club and its foundation have filed a lawsuit against the U.S. Securities and Exchange Commission (SEC) in the D.C. Circuit Court, arguing that the agency weakened its final climate disclosure rules, thereby failing to protect investors. The dispute centers on the SEC’s decision to remove requirements for companies to disclose their 'Scope 3' emissions—indirect emissions from suppliers and customers—which were initially included in the 2022 draft.</w:t>
      </w:r>
      <w:r/>
    </w:p>
    <w:p>
      <w:pPr>
        <w:pStyle w:val="ListNumber"/>
        <w:spacing w:line="240" w:lineRule="auto"/>
        <w:ind w:left="720"/>
      </w:pPr>
      <w:r/>
      <w:hyperlink r:id="rId11">
        <w:r>
          <w:rPr>
            <w:color w:val="0000EE"/>
            <w:u w:val="single"/>
          </w:rPr>
          <w:t>https://www.reuters.com/legal/us-sec-stays-climate-disclosure-rule-amid-legal-challenges-2024-04-04/</w:t>
        </w:r>
      </w:hyperlink>
      <w:r>
        <w:t xml:space="preserve"> - The U.S. Securities and Exchange Commission (SEC) has paused the implementation of its newly introduced climate-related disclosure rules pending judicial review by the Eighth Circuit U.S. Court of Appeals. The regulation, intended to standardize how companies report climate-related risks, has drawn legal challenges from various stakeholders.</w:t>
      </w:r>
      <w:r/>
    </w:p>
    <w:p>
      <w:pPr>
        <w:pStyle w:val="ListNumber"/>
        <w:spacing w:line="240" w:lineRule="auto"/>
        <w:ind w:left="720"/>
      </w:pPr>
      <w:r/>
      <w:hyperlink r:id="rId13">
        <w:r>
          <w:rPr>
            <w:color w:val="0000EE"/>
            <w:u w:val="single"/>
          </w:rPr>
          <w:t>https://www.sidley.com/en/insights/newsupdates/2023/10/california-enacts-landmark-climate-accountability-package</w:t>
        </w:r>
      </w:hyperlink>
      <w:r>
        <w:t xml:space="preserve"> - California has enacted a comprehensive climate accountability package requiring large businesses to disclose their greenhouse gas emissions. The legislation mandates that companies with total annual revenues exceeding $500 million and doing business in California report their Scope 1 and Scope 2 emissions starting in 2026, with Scope 3 emissions reporting beginning in 2027.</w:t>
      </w:r>
      <w:r/>
    </w:p>
    <w:p>
      <w:pPr>
        <w:pStyle w:val="ListNumber"/>
        <w:spacing w:line="240" w:lineRule="auto"/>
        <w:ind w:left="720"/>
      </w:pPr>
      <w:r/>
      <w:hyperlink r:id="rId14">
        <w:r>
          <w:rPr>
            <w:color w:val="0000EE"/>
            <w:u w:val="single"/>
          </w:rPr>
          <w:t>https://us.anteagroup.com/news-events/blog/californias-climate-risk-disclosure-law-sb-261-is-just-around-the-corner</w:t>
        </w:r>
      </w:hyperlink>
      <w:r>
        <w:t xml:space="preserve"> - California's SB 261 law requires certain entities doing business in California to prepare and publish climate-related financial risk reports aligned with the Task Force on Climate-Related Financial Disclosures (TCFD) framework. These reports must be published on a company's website and submitted to a public docket by January 1,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saclaims.com/climate-disclosure-meets-claims-data/" TargetMode="External"/><Relationship Id="rId10" Type="http://schemas.openxmlformats.org/officeDocument/2006/relationships/hyperlink" Target="https://www.reuters.com/legal/sierra-club-sues-us-sec-weakening-climate-risk-disclosure-rules-2024-03-14/" TargetMode="External"/><Relationship Id="rId11" Type="http://schemas.openxmlformats.org/officeDocument/2006/relationships/hyperlink" Target="https://www.reuters.com/legal/us-sec-stays-climate-disclosure-rule-amid-legal-challenges-2024-04-04/" TargetMode="External"/><Relationship Id="rId12" Type="http://schemas.openxmlformats.org/officeDocument/2006/relationships/hyperlink" Target="https://www.apnews.com/article/42708d5fc7ed15001f4ac5a870eb105d" TargetMode="External"/><Relationship Id="rId13" Type="http://schemas.openxmlformats.org/officeDocument/2006/relationships/hyperlink" Target="https://www.sidley.com/en/insights/newsupdates/2023/10/california-enacts-landmark-climate-accountability-package" TargetMode="External"/><Relationship Id="rId14" Type="http://schemas.openxmlformats.org/officeDocument/2006/relationships/hyperlink" Target="https://us.anteagroup.com/news-events/blog/californias-climate-risk-disclosure-law-sb-261-is-just-around-the-corner"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