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embrace agentic AI as operational shift accelerates with measurable business outcomes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Reflecting on discussions at InsureTech Connect 2025 in Las Vegas, the insurance sector has clearly crossed a threshold: AI is no longer an experimental curiosity but an operational expectation that carriers must deliver on to remain competitive. According to the Perficient blog covering the conference, leaders are moving beyond proofs-of-concept to disciplined, outcome‑oriented deployments that prioritise measurable business results. </w:t>
      </w:r>
      <w:hyperlink r:id="rId9">
        <w:r>
          <w:rPr>
            <w:color w:val="0000EE"/>
            <w:u w:val="single"/>
          </w:rPr>
          <w:t>[1]</w:t>
        </w:r>
      </w:hyperlink>
      <w:r/>
    </w:p>
    <w:p>
      <w:r/>
      <w:r>
        <w:t xml:space="preserve">That shift is visible in the technologies being promoted. Perficient and industry vendors described a move from monolithic models to modular, agentic AI architectures, multi‑agent systems that can coordinate across underwriting, claims and customer engagement to make autonomous, policy‑compliant decisions. According to a report by Economist Impact sponsored by SAS, agentic AI is beginning to reshape the workforce by enabling close collaboration between human and AI agents on complex tasks. </w:t>
      </w:r>
      <w:hyperlink r:id="rId9">
        <w:r>
          <w:rPr>
            <w:color w:val="0000EE"/>
            <w:u w:val="single"/>
          </w:rPr>
          <w:t>[1]</w:t>
        </w:r>
      </w:hyperlink>
      <w:hyperlink r:id="rId10">
        <w:r>
          <w:rPr>
            <w:color w:val="0000EE"/>
            <w:u w:val="single"/>
          </w:rPr>
          <w:t>[2]</w:t>
        </w:r>
      </w:hyperlink>
      <w:r/>
    </w:p>
    <w:p>
      <w:r/>
      <w:r>
        <w:t xml:space="preserve">Industry platforms are already positioning agentic functionality as a new operating model. Salesforce has outlined how agentic systems can pursue goals across tools and datasets under custom policies and compliance constraints, potentially executing end‑to‑end workflows such as property claims handling without step‑by‑step human direction while preserving auditability. Cognizant’s analysis of life insurance underwriting shows similar patterns: aggregating medical records, wearables and financial data to produce applicant profiles, enabling straight‑through processing for low‑risk cases and smart routing for complex ones. </w:t>
      </w:r>
      <w:hyperlink r:id="rId11">
        <w:r>
          <w:rPr>
            <w:color w:val="0000EE"/>
            <w:u w:val="single"/>
          </w:rPr>
          <w:t>[3]</w:t>
        </w:r>
      </w:hyperlink>
      <w:hyperlink r:id="rId12">
        <w:r>
          <w:rPr>
            <w:color w:val="0000EE"/>
            <w:u w:val="single"/>
          </w:rPr>
          <w:t>[4]</w:t>
        </w:r>
      </w:hyperlink>
      <w:r/>
    </w:p>
    <w:p>
      <w:r/>
      <w:r>
        <w:t xml:space="preserve">The commercial case for discipline and purpose was emphasised repeatedly at ITC. Perficient highlighted outcome metrics it attributes to purpose‑driven AI initiatives, new‑agent success rates rising by up to 20%, premium growth increases of about 15%, and customer onboarding cost reductions up to 40%, and warned that AI projects without clear intent risk becoming “costly distractions masquerading as innovation”. That framing echoes industry commentary urging measurable, business‑centric objectives for AI investments. </w:t>
      </w:r>
      <w:hyperlink r:id="rId9">
        <w:r>
          <w:rPr>
            <w:color w:val="0000EE"/>
            <w:u w:val="single"/>
          </w:rPr>
          <w:t>[1]</w:t>
        </w:r>
      </w:hyperlink>
      <w:hyperlink r:id="rId13">
        <w:r>
          <w:rPr>
            <w:color w:val="0000EE"/>
            <w:u w:val="single"/>
          </w:rPr>
          <w:t>[6]</w:t>
        </w:r>
      </w:hyperlink>
      <w:r/>
    </w:p>
    <w:p>
      <w:r/>
      <w:r>
        <w:t xml:space="preserve">Despite rapid progress in pockets, scaling remains a stubborn barrier. Boston Consulting Group notes that while insurers have been early adopters relative to many sectors, only a small share, roughly 7%, have successfully moved AI from pilots to enterprise scale. Deloitte’s survey of US insurance executives found widespread gen‑AI experimentation, with 76% reporting implementation in at least one business function, but also underscored the operational and governance hurdles that prevent broad deployment. </w:t>
      </w:r>
      <w:hyperlink r:id="rId14">
        <w:r>
          <w:rPr>
            <w:color w:val="0000EE"/>
            <w:u w:val="single"/>
          </w:rPr>
          <w:t>[5]</w:t>
        </w:r>
      </w:hyperlink>
      <w:hyperlink r:id="rId15">
        <w:r>
          <w:rPr>
            <w:color w:val="0000EE"/>
            <w:u w:val="single"/>
          </w:rPr>
          <w:t>[7]</w:t>
        </w:r>
      </w:hyperlink>
      <w:r/>
    </w:p>
    <w:p>
      <w:r/>
      <w:r>
        <w:t xml:space="preserve">Data readiness and governance are central to those hurdles. Multiple industry accounts at ITC and in sponsorship research warned that carriers are “drowning in data while starving for intelligence”, with legacy architectures unable to support the velocity and observability agentic systems require. Perficient described its PACE governance framework, Policies, Advocacy, Controls and Enablement, as the combination of controls and cultural change necessary to embed trust, ethics and compliance into AI rollouts. </w:t>
      </w:r>
      <w:hyperlink r:id="rId9">
        <w:r>
          <w:rPr>
            <w:color w:val="0000EE"/>
            <w:u w:val="single"/>
          </w:rPr>
          <w:t>[1]</w:t>
        </w:r>
      </w:hyperlink>
      <w:hyperlink r:id="rId10">
        <w:r>
          <w:rPr>
            <w:color w:val="0000EE"/>
            <w:u w:val="single"/>
          </w:rPr>
          <w:t>[2]</w:t>
        </w:r>
      </w:hyperlink>
      <w:hyperlink r:id="rId15">
        <w:r>
          <w:rPr>
            <w:color w:val="0000EE"/>
            <w:u w:val="single"/>
          </w:rPr>
          <w:t>[7]</w:t>
        </w:r>
      </w:hyperlink>
      <w:r/>
    </w:p>
    <w:p>
      <w:r/>
      <w:r>
        <w:t xml:space="preserve">Practical implementations point to tangible efficiency and compliance benefits when governance and architecture align. Cognizant emphasises explainable AI and audit trails for regulatory oversight in life underwriting, while Salesforce and other platform vendors highlight policy‑driven automation that reduces manual handoffs and speeds customer outcomes. Insurance Thought Leadership has documented how AI has moved into daily underwriting and claims triage, improving delegated authority oversight and business results when execution, not just experimentation, is prioritised. </w:t>
      </w:r>
      <w:hyperlink r:id="rId12">
        <w:r>
          <w:rPr>
            <w:color w:val="0000EE"/>
            <w:u w:val="single"/>
          </w:rPr>
          <w:t>[4]</w:t>
        </w:r>
      </w:hyperlink>
      <w:hyperlink r:id="rId11">
        <w:r>
          <w:rPr>
            <w:color w:val="0000EE"/>
            <w:u w:val="single"/>
          </w:rPr>
          <w:t>[3]</w:t>
        </w:r>
      </w:hyperlink>
      <w:hyperlink r:id="rId13">
        <w:r>
          <w:rPr>
            <w:color w:val="0000EE"/>
            <w:u w:val="single"/>
          </w:rPr>
          <w:t>[6]</w:t>
        </w:r>
      </w:hyperlink>
      <w:r/>
    </w:p>
    <w:p>
      <w:r/>
      <w:r>
        <w:t xml:space="preserve">For carriers looking to accelerate, the recurring prescriptions are consistent: adopt modular, agentic designs where appropriate; bind projects to clear commercial KPIs; modernise data platforms for real‑time decisioning; and institute governance that treats trust as a market differentiator rather than mere compliance theatre. Perficient and its partners position strategic alliances with cloud and software vendors as one route to achieve those aims, but industry surveys suggest that strategic planning, investment in scalable engineering and sustained executive sponsorship remain the decisive factors in whether pilots translate into enterprise advantage. </w:t>
      </w:r>
      <w:hyperlink r:id="rId9">
        <w:r>
          <w:rPr>
            <w:color w:val="0000EE"/>
            <w:u w:val="single"/>
          </w:rPr>
          <w:t>[1]</w:t>
        </w:r>
      </w:hyperlink>
      <w:hyperlink r:id="rId14">
        <w:r>
          <w:rPr>
            <w:color w:val="0000EE"/>
            <w:u w:val="single"/>
          </w:rPr>
          <w:t>[5]</w:t>
        </w:r>
      </w:hyperlink>
      <w:hyperlink r:id="rId15">
        <w:r>
          <w:rPr>
            <w:color w:val="0000EE"/>
            <w:u w:val="single"/>
          </w:rPr>
          <w:t>[7]</w:t>
        </w:r>
      </w:hyperlink>
      <w:r/>
    </w:p>
    <w:p>
      <w:r/>
      <w:r>
        <w:t xml:space="preserve">The net effect is an industry in transition. Where insurers once viewed AI as an experimental frontier, many now treat it as a core capability that must deliver measurable underwriting, pricing and service improvements, while simultaneously meeting rising expectations for explainability and control. How quickly companies close the gap from selective wins to enterprise scale will determine which firms lead in the coming wave of agentic, purpose‑driven insurance operations. </w:t>
      </w:r>
      <w:hyperlink r:id="rId9">
        <w:r>
          <w:rPr>
            <w:color w:val="0000EE"/>
            <w:u w:val="single"/>
          </w:rPr>
          <w:t>[1]</w:t>
        </w:r>
      </w:hyperlink>
      <w:hyperlink r:id="rId10">
        <w:r>
          <w:rPr>
            <w:color w:val="0000EE"/>
            <w:u w:val="single"/>
          </w:rPr>
          <w:t>[2]</w:t>
        </w:r>
      </w:hyperlink>
      <w:hyperlink r:id="rId14">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(Perficient blog) - Paragraph 1, Paragraph 2, Paragraph 4, Paragraph 6, Paragraph 8, Paragraph 9 </w:t>
      </w:r>
      <w:r/>
    </w:p>
    <w:p>
      <w:pPr>
        <w:pStyle w:val="ListBullet"/>
        <w:spacing w:line="240" w:lineRule="auto"/>
        <w:ind w:left="720"/>
      </w:pPr>
      <w:r/>
      <w:hyperlink r:id="rId10">
        <w:r>
          <w:rPr>
            <w:color w:val="0000EE"/>
            <w:u w:val="single"/>
          </w:rPr>
          <w:t>[2]</w:t>
        </w:r>
      </w:hyperlink>
      <w:r>
        <w:t xml:space="preserve"> (SAS / Economist Impact) - Paragraph 2, Paragraph 6, Paragraph 9 </w:t>
      </w:r>
      <w:r/>
    </w:p>
    <w:p>
      <w:pPr>
        <w:pStyle w:val="ListBullet"/>
        <w:spacing w:line="240" w:lineRule="auto"/>
        <w:ind w:left="720"/>
      </w:pPr>
      <w:r/>
      <w:hyperlink r:id="rId11">
        <w:r>
          <w:rPr>
            <w:color w:val="0000EE"/>
            <w:u w:val="single"/>
          </w:rPr>
          <w:t>[3]</w:t>
        </w:r>
      </w:hyperlink>
      <w:r>
        <w:t xml:space="preserve"> (Salesforce) - Paragraph 3, Paragraph 7 </w:t>
      </w:r>
      <w:r/>
    </w:p>
    <w:p>
      <w:pPr>
        <w:pStyle w:val="ListBullet"/>
        <w:spacing w:line="240" w:lineRule="auto"/>
        <w:ind w:left="720"/>
      </w:pPr>
      <w:r/>
      <w:hyperlink r:id="rId12">
        <w:r>
          <w:rPr>
            <w:color w:val="0000EE"/>
            <w:u w:val="single"/>
          </w:rPr>
          <w:t>[4]</w:t>
        </w:r>
      </w:hyperlink>
      <w:r>
        <w:t xml:space="preserve"> (Cognizant) - Paragraph 3, Paragraph 7, Paragraph 8 </w:t>
      </w:r>
      <w:r/>
    </w:p>
    <w:p>
      <w:pPr>
        <w:pStyle w:val="ListBullet"/>
        <w:spacing w:line="240" w:lineRule="auto"/>
        <w:ind w:left="720"/>
      </w:pPr>
      <w:r/>
      <w:hyperlink r:id="rId14">
        <w:r>
          <w:rPr>
            <w:color w:val="0000EE"/>
            <w:u w:val="single"/>
          </w:rPr>
          <w:t>[5]</w:t>
        </w:r>
      </w:hyperlink>
      <w:r>
        <w:t xml:space="preserve"> (BCG) - Paragraph 5, Paragraph 9 </w:t>
      </w:r>
      <w:r/>
    </w:p>
    <w:p>
      <w:pPr>
        <w:pStyle w:val="ListBullet"/>
        <w:spacing w:line="240" w:lineRule="auto"/>
        <w:ind w:left="720"/>
      </w:pPr>
      <w:r/>
      <w:hyperlink r:id="rId13">
        <w:r>
          <w:rPr>
            <w:color w:val="0000EE"/>
            <w:u w:val="single"/>
          </w:rPr>
          <w:t>[6]</w:t>
        </w:r>
      </w:hyperlink>
      <w:r>
        <w:t xml:space="preserve"> (Insurance Thought Leadership) - Paragraph 4, Paragraph 8, Paragraph 9 </w:t>
      </w:r>
      <w:r/>
    </w:p>
    <w:p>
      <w:pPr>
        <w:pStyle w:val="ListBullet"/>
        <w:spacing w:line="240" w:lineRule="auto"/>
        <w:ind w:left="720"/>
      </w:pPr>
      <w:r/>
      <w:hyperlink r:id="rId15">
        <w:r>
          <w:rPr>
            <w:color w:val="0000EE"/>
            <w:u w:val="single"/>
          </w:rPr>
          <w:t>[7]</w:t>
        </w:r>
      </w:hyperlink>
      <w:r>
        <w:t xml:space="preserve"> (Deloitte) - Paragraph 5, Paragraph 6,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https://blogs.perficient.com/2025/12/19/purpose-driven-ai-in-insurance-what-separates-leaders-from-followers/</w:t>
        </w:r>
      </w:hyperlink>
      <w:r>
        <w:t xml:space="preserve"> - Please view link - unable to able to access data</w:t>
      </w:r>
      <w:r/>
    </w:p>
    <w:p>
      <w:pPr>
        <w:pStyle w:val="ListNumber"/>
        <w:spacing w:line="240" w:lineRule="auto"/>
        <w:ind w:left="720"/>
      </w:pPr>
      <w:r/>
      <w:hyperlink r:id="rId10">
        <w:r>
          <w:rPr>
            <w:color w:val="0000EE"/>
            <w:u w:val="single"/>
          </w:rPr>
          <w:t>https://www.sas.com/en_us/news/press-releases/2025/september/economist-ai-underwriting-future-insurance.html</w:t>
        </w:r>
      </w:hyperlink>
      <w:r>
        <w:t xml:space="preserve"> - A report from Economist Impact, sponsored by SAS, reveals that insurance leaders are witnessing AI transition from hype to real-world impact. While generative AI hasn't yet transformed the industry, it's demonstrating productivity gains. The report highlights the role of agentic AI—autonomous systems capable of performing complex tasks independently—in reshaping the insurance workforce. This suggests a future where human and AI agents collaborate closely on tasks like underwriting, product development, and claims processing.</w:t>
      </w:r>
      <w:r/>
    </w:p>
    <w:p>
      <w:pPr>
        <w:pStyle w:val="ListNumber"/>
        <w:spacing w:line="240" w:lineRule="auto"/>
        <w:ind w:left="720"/>
      </w:pPr>
      <w:r/>
      <w:hyperlink r:id="rId11">
        <w:r>
          <w:rPr>
            <w:color w:val="0000EE"/>
            <w:u w:val="single"/>
          </w:rPr>
          <w:t>https://www.salesforce.com/financial-services/artificial-intelligence/agentic-ai-in-insurance</w:t>
        </w:r>
      </w:hyperlink>
      <w:r>
        <w:t xml:space="preserve"> - Salesforce discusses agentic AI in insurance, emphasizing AI systems that can pursue goals independently. These agents operate across tools and datasets to complete tasks without step-by-step human direction, guided by custom policies, compliance rules, or business goals. In the insurance sector, agentic AI can autonomously handle processes such as property claims, updating systems, notifying policyholders, and triggering payouts without human approval, ensuring efficiency and compliance.</w:t>
      </w:r>
      <w:r/>
    </w:p>
    <w:p>
      <w:pPr>
        <w:pStyle w:val="ListNumber"/>
        <w:spacing w:line="240" w:lineRule="auto"/>
        <w:ind w:left="720"/>
      </w:pPr>
      <w:r/>
      <w:hyperlink r:id="rId12">
        <w:r>
          <w:rPr>
            <w:color w:val="0000EE"/>
            <w:u w:val="single"/>
          </w:rPr>
          <w:t>https://www.cognizant.com/us/en/insights/insights-blog/agentic-ai-in-life-insurance</w:t>
        </w:r>
      </w:hyperlink>
      <w:r>
        <w:t xml:space="preserve"> - Cognizant explores how agentic AI is transforming life insurance underwriting. The technology simplifies complex data handling by organizing inputs from medical records, wearables, and financial data to provide clear applicant profiles. It speeds decision-making through straight-through processing for low-risk cases and smart routing for complex ones, supports regulatory compliance with built-in audit trails and explainable AI, reduces operational costs by automating repetitive tasks, and improves productivity by acting as a smart assistant that surfaces insights and streamlines workflows.</w:t>
      </w:r>
      <w:r/>
    </w:p>
    <w:p>
      <w:pPr>
        <w:pStyle w:val="ListNumber"/>
        <w:spacing w:line="240" w:lineRule="auto"/>
        <w:ind w:left="720"/>
      </w:pPr>
      <w:r/>
      <w:hyperlink r:id="rId14">
        <w:r>
          <w:rPr>
            <w:color w:val="0000EE"/>
            <w:u w:val="single"/>
          </w:rPr>
          <w:t>https://www.bcg.com/publications/2025/insurance-leads-ai-adoption-now-time-to-scale</w:t>
        </w:r>
      </w:hyperlink>
      <w:r>
        <w:t xml:space="preserve"> - Boston Consulting Group (BCG) highlights the insurance industry's significant strides in adopting and testing predictive and generative AI systems. A 2024 survey showed insurance companies outpacing nearly all industries in AI adoption, nearly matching the levels of technology, media, and telecommunications companies. Despite these advancements, most insurers have yet to scale AI practices throughout their organizations, with only 7% having successfully brought their AI systems to scale, indicating a need for broader implementation to fully realize AI's potential.</w:t>
      </w:r>
      <w:r/>
    </w:p>
    <w:p>
      <w:pPr>
        <w:pStyle w:val="ListNumber"/>
        <w:spacing w:line="240" w:lineRule="auto"/>
        <w:ind w:left="720"/>
      </w:pPr>
      <w:r/>
      <w:hyperlink r:id="rId13">
        <w:r>
          <w:rPr>
            <w:color w:val="0000EE"/>
            <w:u w:val="single"/>
          </w:rPr>
          <w:t>https://www.insurancethoughtleadership.com/ai-machine-learning/ai-not-next-it-now-and-it-works</w:t>
        </w:r>
      </w:hyperlink>
      <w:r>
        <w:t xml:space="preserve"> - An article from Insurance Thought Leadership discusses the insurance industry's transition from AI experimentation to execution in daily underwriting operations. It emphasizes that AI is no longer confined to innovation teams or isolated proof-of-concepts but is now integrated into daily underwriting, claims triage, and delegated authority oversight, leading to improved business results. The piece underscores the importance of focusing on execution over experimentation to mainstream AI in insurance.</w:t>
      </w:r>
      <w:r/>
    </w:p>
    <w:p>
      <w:pPr>
        <w:pStyle w:val="ListNumber"/>
        <w:spacing w:line="240" w:lineRule="auto"/>
        <w:ind w:left="720"/>
      </w:pPr>
      <w:r/>
      <w:hyperlink r:id="rId15">
        <w:r>
          <w:rPr>
            <w:color w:val="0000EE"/>
            <w:u w:val="single"/>
          </w:rPr>
          <w:t>https://www2.deloitte.com/us/en/insights/industry/financial-services/scaling-gen-ai-insurance.html</w:t>
        </w:r>
      </w:hyperlink>
      <w:r>
        <w:t xml:space="preserve"> - Deloitte's report examines insurers' readiness to scale generative AI (gen AI). A 2024 survey of 200 US insurance executives revealed that 76% have implemented gen AI in one or more business functions. However, many insurers face challenges in moving beyond initial proof-of-concept stages, highlighting the need for strategic planning and overcoming implementation obstacles to fully embrace and scale gen AI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perficient.com/2025/12/19/purpose-driven-ai-in-insurance-what-separates-leaders-from-followers/" TargetMode="External"/><Relationship Id="rId10" Type="http://schemas.openxmlformats.org/officeDocument/2006/relationships/hyperlink" Target="https://www.sas.com/en_us/news/press-releases/2025/september/economist-ai-underwriting-future-insurance.html" TargetMode="External"/><Relationship Id="rId11" Type="http://schemas.openxmlformats.org/officeDocument/2006/relationships/hyperlink" Target="https://www.salesforce.com/financial-services/artificial-intelligence/agentic-ai-in-insurance" TargetMode="External"/><Relationship Id="rId12" Type="http://schemas.openxmlformats.org/officeDocument/2006/relationships/hyperlink" Target="https://www.cognizant.com/us/en/insights/insights-blog/agentic-ai-in-life-insurance" TargetMode="External"/><Relationship Id="rId13" Type="http://schemas.openxmlformats.org/officeDocument/2006/relationships/hyperlink" Target="https://www.insurancethoughtleadership.com/ai-machine-learning/ai-not-next-it-now-and-it-works" TargetMode="External"/><Relationship Id="rId14" Type="http://schemas.openxmlformats.org/officeDocument/2006/relationships/hyperlink" Target="https://www.bcg.com/publications/2025/insurance-leads-ai-adoption-now-time-to-scale" TargetMode="External"/><Relationship Id="rId15" Type="http://schemas.openxmlformats.org/officeDocument/2006/relationships/hyperlink" Target="https://www2.deloitte.com/us/en/insights/industry/financial-services/scaling-gen-ai-insuranc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