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Scaling and optimising SCD2 in Databricks to meet regulatory and analytical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Implementing Slowly Changing Dimension Type 2 (SCD2) in the Bronze layer transforms a simple ingestion pattern into a long-lived system of record that must scale, remain queryable and withstand regulatory scrutiny over many years. According to the article on Horkan, financial services firms increasingly adopt SCD2 on Databricks with Delta Lake to meet FCA/PRA compliance, fraud analytics, AML/KYC lineage and reproducible model training, but the Bronze layer can grow very quickly and become costly and fragile without careful engineering. </w:t>
      </w:r>
      <w:hyperlink r:id="rId9">
        <w:r>
          <w:rPr>
            <w:color w:val="0000EE"/>
            <w:u w:val="single"/>
          </w:rPr>
          <w:t>[1]</w:t>
        </w:r>
      </w:hyperlink>
      <w:r/>
    </w:p>
    <w:p>
      <w:r/>
      <w:r>
        <w:t xml:space="preserve">Databricks and Delta Lake provide capabilities that match SCD2’s demands: ACID transactions, Time Travel, schema evolution and optimisation tools such as OPTIMIZE and ZORDER, which together support complete change history, reliable lineage and high-volume ingestion. The Horkan piece emphasises that these platform strengths make Databricks a natural fit for regulated environments where historical reconstruction and auditability are mandatory. Official Delta Lake and Databricks guidance reinforce these points and supply practical configuration and performance recommendations.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 central operational principle is preventing unnecessary SCD2 churn. Horkan recommends hash-based change detection, generating a deterministic hash from business attributes only, and only creating new SCD2 versions when that hash differs. This suppresses “no-op” updates caused by technical metadata changes (timestamps, load IDs or CDC counters), reduces MERGE cost and limits file and metadata growth. Delta and Databricks best-practice documentation similarly advise minimising record-level comparisons and designing pipelines to avoid false-positive updates.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Partitioning is a long-lived decision that critically shapes performance and metadata health. The recommended pattern combines time (EffectiveFrom date, daily or monthly) with a business key (CustomerID, AccountID, SecurityID) so recent writes target a small set of partitions while query pruning remains effective. Horkan warns against partitioning solely on high-cardinality keys or over-partitioning; Databricks’ performance guidance echoes the need to choose partition columns that reduce scans without exploding the metastore. For very large tables, Databricks’ Liquid Clustering is offered as an alternative that automates data organisation based on query patterns. </w:t>
      </w:r>
      <w:hyperlink r:id="rId9">
        <w:r>
          <w:rPr>
            <w:color w:val="0000EE"/>
            <w:u w:val="single"/>
          </w:rPr>
          <w:t>[1]</w:t>
        </w:r>
      </w:hyperlink>
      <w:hyperlink r:id="rId11">
        <w:r>
          <w:rPr>
            <w:color w:val="0000EE"/>
            <w:u w:val="single"/>
          </w:rPr>
          <w:t>[3]</w:t>
        </w:r>
      </w:hyperlink>
      <w:hyperlink r:id="rId13">
        <w:r>
          <w:rPr>
            <w:color w:val="0000EE"/>
            <w:u w:val="single"/>
          </w:rPr>
          <w:t>[4]</w:t>
        </w:r>
      </w:hyperlink>
      <w:r/>
    </w:p>
    <w:p>
      <w:r/>
      <w:r>
        <w:t xml:space="preserve">Keeping SCD2 tables compact and locality-friendly requires frequent OPTIMIZE and ZORDER operations focused on recent partitions. Horkan recommends ZORDERing on business key, EffectiveFrom and IsCurrent to accelerate the most common queries, retrieving the latest version, enumerating versions for a key and rebuilding short-window Silver models, and cites potential compute savings of up to 70% for targeted workloads. Databricks documentation provides the operational details for when and how to run OPTIMIZE and ZORDER to balance compaction benefits against compute cost. </w:t>
      </w:r>
      <w:hyperlink r:id="rId9">
        <w:r>
          <w:rPr>
            <w:color w:val="0000EE"/>
            <w:u w:val="single"/>
          </w:rPr>
          <w:t>[1]</w:t>
        </w:r>
      </w:hyperlink>
      <w:hyperlink r:id="rId10">
        <w:r>
          <w:rPr>
            <w:color w:val="0000EE"/>
            <w:u w:val="single"/>
          </w:rPr>
          <w:t>[2]</w:t>
        </w:r>
      </w:hyperlink>
      <w:hyperlink r:id="rId13">
        <w:r>
          <w:rPr>
            <w:color w:val="0000EE"/>
            <w:u w:val="single"/>
          </w:rPr>
          <w:t>[4]</w:t>
        </w:r>
      </w:hyperlink>
      <w:r/>
    </w:p>
    <w:p>
      <w:r/>
      <w:r>
        <w:t xml:space="preserve">File compaction and auto-optimization must be part of daily hygiene. The article outlines two approaches: enable autoOptimize on writes to reduce small-file creation at source, accepting slightly higher write latency, or run scheduled compaction jobs (typically nightly) to combine small files and trim tombstone overhead. Databricks best-practice material corroborates both options and stresses that unmanaged small files are a persistent form of technical debt that degrades MERGE and read performance.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Delta metadata requires active management because transactional guarantees rely on healthy logs and checkpoints. Horkan highlights Delta Change Data Feed (CDF) for incremental processing, Delta log checkpointing to avoid log explosion, and cautious use of VACUUM with governance-aligned retention windows (a 30-day retention is suggested as a conservative starting point). Databricks’ reliability guidance likewise recommends explicit policies for checkpointing, vacuum safety and documenting retention to preserve Time Travel and regulatory reconstruction capabilities.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Cost control at scale demands storage tiering. The article advises a temperature-based approach: Hot Bronze (last 6–12 months) on premium storage for frequent reads and MERGE activity; Warm Bronze (1–3 years) on standard storage for occasional reprocessing; and Cold Bronze (&gt;3 years) on low-cost object or archived parquet for long-term regulatory retention. Horkan notes Delta Lake enables queries that span tiers, but warns analytics and ML workloads should primarily target Hot and Warm tiers. Databricks guidance supports tiering strategies and offers implementation patterns such as controlled DEEP CLONE, table-level storage policies or export to archive formats. </w:t>
      </w:r>
      <w:hyperlink r:id="rId9">
        <w:r>
          <w:rPr>
            <w:color w:val="0000EE"/>
            <w:u w:val="single"/>
          </w:rPr>
          <w:t>[1]</w:t>
        </w:r>
      </w:hyperlink>
      <w:hyperlink r:id="rId11">
        <w:r>
          <w:rPr>
            <w:color w:val="0000EE"/>
            <w:u w:val="single"/>
          </w:rPr>
          <w:t>[3]</w:t>
        </w:r>
      </w:hyperlink>
      <w:hyperlink r:id="rId12">
        <w:r>
          <w:rPr>
            <w:color w:val="0000EE"/>
            <w:u w:val="single"/>
          </w:rPr>
          <w:t>[5]</w:t>
        </w:r>
      </w:hyperlink>
      <w:r/>
    </w:p>
    <w:p>
      <w:r/>
      <w:r>
        <w:t xml:space="preserve">For heavy SCD2 workloads, execution engine choice materially affects throughput. Horkan recommends using Databricks’ Photon vectorised engine as the default for large MERGE, hashing and compaction workloads, citing potential pipeline time reductions of 30–70%. Databricks performance documentation identifies Photon and other runtime optimisations as primary levers to lower pipeline latency and infrastructure cost for high-volume CRUD operations. </w:t>
      </w:r>
      <w:hyperlink r:id="rId9">
        <w:r>
          <w:rPr>
            <w:color w:val="0000EE"/>
            <w:u w:val="single"/>
          </w:rPr>
          <w:t>[1]</w:t>
        </w:r>
      </w:hyperlink>
      <w:hyperlink r:id="rId13">
        <w:r>
          <w:rPr>
            <w:color w:val="0000EE"/>
            <w:u w:val="single"/>
          </w:rPr>
          <w:t>[4]</w:t>
        </w:r>
      </w:hyperlink>
      <w:r/>
    </w:p>
    <w:p>
      <w:r/>
      <w:r>
        <w:t xml:space="preserve">Operating a large SCD2 Bronze layer is an ongoing engineering discipline: detect real business changes with hashing, partition sensibly, optimise and compact regularly, manage metadata and retention deliberately, tier storage to control cost and run workloads on efficient execution engines. When these practices are combined, Databricks and Delta Lake can deliver a scalable, governed, cost-efficient Bronze layer that remains analytically useful and regulatorily defensible, serving as the bedrock for time-aware analytics, feature generation for AI and auditable model training.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hyperlink r:id="rId12">
        <w:r>
          <w:rPr>
            <w:color w:val="0000EE"/>
            <w:u w:val="single"/>
          </w:rPr>
          <w:t>[5]</w:t>
        </w:r>
      </w:hyperlink>
      <w:hyperlink r:id="rId12">
        <w:r>
          <w:rPr>
            <w:color w:val="0000EE"/>
            <w:u w:val="single"/>
          </w:rPr>
          <w:t>[6]</w:t>
        </w:r>
      </w:hyperlink>
      <w:hyperlink r:id="rId12">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(Horkan) - Paragraph 1, Paragraph 2, Paragraph 3, Paragraph 4, Paragraph 5, Paragraph 6, Paragraph 7, Paragraph 8, Paragraph 9, Paragraph 10</w:t>
      </w:r>
      <w:r/>
    </w:p>
    <w:p>
      <w:pPr>
        <w:pStyle w:val="ListBullet"/>
        <w:spacing w:line="240" w:lineRule="auto"/>
        <w:ind w:left="720"/>
      </w:pPr>
      <w:r/>
      <w:hyperlink r:id="rId10">
        <w:r>
          <w:rPr>
            <w:color w:val="0000EE"/>
            <w:u w:val="single"/>
          </w:rPr>
          <w:t>[2]</w:t>
        </w:r>
      </w:hyperlink>
      <w:r>
        <w:t xml:space="preserve"> (Delta Lake documentation) - Paragraph 2, Paragraph 3, Paragraph 5, Paragraph 6, Paragraph 9, Paragraph 10</w:t>
      </w:r>
      <w:r/>
    </w:p>
    <w:p>
      <w:pPr>
        <w:pStyle w:val="ListBullet"/>
        <w:spacing w:line="240" w:lineRule="auto"/>
        <w:ind w:left="720"/>
      </w:pPr>
      <w:r/>
      <w:hyperlink r:id="rId11">
        <w:r>
          <w:rPr>
            <w:color w:val="0000EE"/>
            <w:u w:val="single"/>
          </w:rPr>
          <w:t>[3]</w:t>
        </w:r>
      </w:hyperlink>
      <w:r>
        <w:t xml:space="preserve"> (Databricks documentation - reliability) - Paragraph 2, Paragraph 7, Paragraph 8, Paragraph 10</w:t>
      </w:r>
      <w:r/>
    </w:p>
    <w:p>
      <w:pPr>
        <w:pStyle w:val="ListBullet"/>
        <w:spacing w:line="240" w:lineRule="auto"/>
        <w:ind w:left="720"/>
      </w:pPr>
      <w:r/>
      <w:hyperlink r:id="rId13">
        <w:r>
          <w:rPr>
            <w:color w:val="0000EE"/>
            <w:u w:val="single"/>
          </w:rPr>
          <w:t>[4]</w:t>
        </w:r>
      </w:hyperlink>
      <w:r>
        <w:t xml:space="preserve"> (Databricks documentation - performance efficiency) - Paragraph 5, Paragraph 9, Paragraph 10</w:t>
      </w:r>
      <w:r/>
    </w:p>
    <w:p>
      <w:pPr>
        <w:pStyle w:val="ListBullet"/>
        <w:spacing w:line="240" w:lineRule="auto"/>
        <w:ind w:left="720"/>
      </w:pPr>
      <w:r/>
      <w:hyperlink r:id="rId12">
        <w:r>
          <w:rPr>
            <w:color w:val="0000EE"/>
            <w:u w:val="single"/>
          </w:rPr>
          <w:t>[5]</w:t>
        </w:r>
      </w:hyperlink>
      <w:r>
        <w:t xml:space="preserve"> (Databricks documentation - delta best practices) - Paragraph 3, Paragraph 5, Paragraph 6, Paragraph 8, Paragraph 10</w:t>
      </w:r>
      <w:r/>
    </w:p>
    <w:p>
      <w:pPr>
        <w:pStyle w:val="ListBullet"/>
        <w:spacing w:line="240" w:lineRule="auto"/>
        <w:ind w:left="720"/>
      </w:pPr>
      <w:r/>
      <w:hyperlink r:id="rId12">
        <w:r>
          <w:rPr>
            <w:color w:val="0000EE"/>
            <w:u w:val="single"/>
          </w:rPr>
          <w:t>[6]</w:t>
        </w:r>
      </w:hyperlink>
      <w:r>
        <w:t xml:space="preserve"> (Databricks documentation - delta best practices) - Paragraph 7, Paragraph 10</w:t>
      </w:r>
      <w:r/>
    </w:p>
    <w:p>
      <w:pPr>
        <w:pStyle w:val="ListBullet"/>
        <w:spacing w:line="240" w:lineRule="auto"/>
        <w:ind w:left="720"/>
      </w:pPr>
      <w:r/>
      <w:hyperlink r:id="rId12">
        <w:r>
          <w:rPr>
            <w:color w:val="0000EE"/>
            <w:u w:val="single"/>
          </w:rPr>
          <w:t>[7]</w:t>
        </w:r>
      </w:hyperlink>
      <w:r>
        <w:t xml:space="preserve"> (Databricks documentation - delta best practices) - Paragraph 10</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https://horkan.com/2025/12/21/managing-a-rapidly-growing-scd2-bronze-layer-on-databricks-best-practices-and-practical-guidance-ready-for-ai-workloads</w:t>
        </w:r>
      </w:hyperlink>
      <w:r>
        <w:t xml:space="preserve"> - Please view link - unable to able to access data</w:t>
      </w:r>
      <w:r/>
    </w:p>
    <w:p>
      <w:pPr>
        <w:pStyle w:val="ListNumber"/>
        <w:spacing w:line="240" w:lineRule="auto"/>
        <w:ind w:left="720"/>
      </w:pPr>
      <w:r/>
      <w:hyperlink r:id="rId10">
        <w:r>
          <w:rPr>
            <w:color w:val="0000EE"/>
            <w:u w:val="single"/>
          </w:rPr>
          <w:t>https://docs.delta.io/best-practices/</w:t>
        </w:r>
      </w:hyperlink>
      <w:r>
        <w:t xml:space="preserve"> - This official Delta Lake documentation outlines best practices for optimising Delta tables, including guidance on choosing appropriate partition columns and strategies for compacting files to enhance query performance and storage efficiency.</w:t>
      </w:r>
      <w:r/>
    </w:p>
    <w:p>
      <w:pPr>
        <w:pStyle w:val="ListNumber"/>
        <w:spacing w:line="240" w:lineRule="auto"/>
        <w:ind w:left="720"/>
      </w:pPr>
      <w:r/>
      <w:hyperlink r:id="rId11">
        <w:r>
          <w:rPr>
            <w:color w:val="0000EE"/>
            <w:u w:val="single"/>
          </w:rPr>
          <w:t>https://docs.databricks.com/en/lakehouse-architecture/reliability/best-practices.html</w:t>
        </w:r>
      </w:hyperlink>
      <w:r>
        <w:t xml:space="preserve"> - Databricks provides best practices for managing data quality in lakehouse architectures, emphasising the importance of a layered storage approach with raw (bronze), curated (silver), and final (gold) layers to ensure data integrity and reliability.</w:t>
      </w:r>
      <w:r/>
    </w:p>
    <w:p>
      <w:pPr>
        <w:pStyle w:val="ListNumber"/>
        <w:spacing w:line="240" w:lineRule="auto"/>
        <w:ind w:left="720"/>
      </w:pPr>
      <w:r/>
      <w:hyperlink r:id="rId13">
        <w:r>
          <w:rPr>
            <w:color w:val="0000EE"/>
            <w:u w:val="single"/>
          </w:rPr>
          <w:t>https://docs.databricks.com/en/lakehouse-architecture/performance-efficiency/best-practices.html</w:t>
        </w:r>
      </w:hyperlink>
      <w:r>
        <w:t xml:space="preserve"> - This guide offers best practices for performance efficiency in Azure Databricks, including strategies for optimising file formats, query performance, and resource utilisation to achieve cost-effective and high-performing data processing.</w:t>
      </w:r>
      <w:r/>
    </w:p>
    <w:p>
      <w:pPr>
        <w:pStyle w:val="ListNumber"/>
        <w:spacing w:line="240" w:lineRule="auto"/>
        <w:ind w:left="720"/>
      </w:pPr>
      <w:r/>
      <w:hyperlink r:id="rId12">
        <w:r>
          <w:rPr>
            <w:color w:val="0000EE"/>
            <w:u w:val="single"/>
          </w:rPr>
          <w:t>https://docs.databricks.com/en/delta/best-practices.html</w:t>
        </w:r>
      </w:hyperlink>
      <w:r>
        <w:t xml:space="preserve"> - The Delta Lake documentation details best practices for optimising big data workflows, covering aspects such as schema design, data quality controls, and performance tuning to enhance the efficiency and reliability of Delta Lake implementations.</w:t>
      </w:r>
      <w:r/>
    </w:p>
    <w:p>
      <w:pPr>
        <w:pStyle w:val="ListNumber"/>
        <w:spacing w:line="240" w:lineRule="auto"/>
        <w:ind w:left="720"/>
      </w:pPr>
      <w:r/>
      <w:hyperlink r:id="rId12">
        <w:r>
          <w:rPr>
            <w:color w:val="0000EE"/>
            <w:u w:val="single"/>
          </w:rPr>
          <w:t>https://docs.databricks.com/en/delta/best-practices.html</w:t>
        </w:r>
      </w:hyperlink>
      <w:r>
        <w:t xml:space="preserve"> - This section of the Delta Lake documentation provides best practices for optimising big data workflows, including guidance on schema design, data quality controls, and performance tuning to enhance the efficiency and reliability of Delta Lake implementations.</w:t>
      </w:r>
      <w:r/>
    </w:p>
    <w:p>
      <w:pPr>
        <w:pStyle w:val="ListNumber"/>
        <w:spacing w:line="240" w:lineRule="auto"/>
        <w:ind w:left="720"/>
      </w:pPr>
      <w:r/>
      <w:hyperlink r:id="rId12">
        <w:r>
          <w:rPr>
            <w:color w:val="0000EE"/>
            <w:u w:val="single"/>
          </w:rPr>
          <w:t>https://docs.databricks.com/en/delta/best-practices.html</w:t>
        </w:r>
      </w:hyperlink>
      <w:r>
        <w:t xml:space="preserve"> - The Delta Lake documentation outlines best practices for optimising big data workflows, covering aspects such as schema design, data quality controls, and performance tuning to enhance the efficiency and reliability of Delta Lake implementations.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rkan.com/2025/12/21/managing-a-rapidly-growing-scd2-bronze-layer-on-databricks-best-practices-and-practical-guidance-ready-for-ai-workloads" TargetMode="External"/><Relationship Id="rId10" Type="http://schemas.openxmlformats.org/officeDocument/2006/relationships/hyperlink" Target="https://docs.delta.io/best-practices/" TargetMode="External"/><Relationship Id="rId11" Type="http://schemas.openxmlformats.org/officeDocument/2006/relationships/hyperlink" Target="https://docs.databricks.com/en/lakehouse-architecture/reliability/best-practices.html" TargetMode="External"/><Relationship Id="rId12" Type="http://schemas.openxmlformats.org/officeDocument/2006/relationships/hyperlink" Target="https://docs.databricks.com/en/delta/best-practices.html" TargetMode="External"/><Relationship Id="rId13" Type="http://schemas.openxmlformats.org/officeDocument/2006/relationships/hyperlink" Target="https://docs.databricks.com/en/lakehouse-architecture/performance-efficiency/best-practices.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