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accelerates global AI leadership with $2.2bn investments and strategic partnerships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United Arab Emirates consolidated its position as a global digital infrastructure hub in 2025, reporting that 97 percent of government organisations now use artificial intelligence tools and that more than 450,000 programmers are contributing to the country’s digital build‑out. According to the lead report by Economy Middle East, those figures sit alongside a wave of high‑profile international partnerships and large‑scale investments that together have reshaped the nation’s technology landscape this year. </w:t>
      </w:r>
      <w:hyperlink r:id="rId9">
        <w:r>
          <w:rPr>
            <w:color w:val="0000EE"/>
            <w:u w:val="single"/>
          </w:rPr>
          <w:t>[1]</w:t>
        </w:r>
      </w:hyperlink>
      <w:r/>
    </w:p>
    <w:p>
      <w:r/>
      <w:r>
        <w:t xml:space="preserve">Key international projects anchored the year’s progress. Economy Middle East and Khaleej Times describe a 5‑gigawatt UAE–US AI Campus in Abu Dhabi, powered by a mix of nuclear, solar and gas generation and hosting the largest supercomputing cluster outside the United States. The same coverage notes the launch of “Stargate UAE”, a 1‑gigawatt initiative involving G42, OpenAI, Oracle, Cisco, SoftBank and Nvidia, with first‑phase systems based on NVIDIA Grace Blackwell GB300 hardware expected to come online in 2026. </w:t>
      </w:r>
      <w:hyperlink r:id="rId9">
        <w:r>
          <w:rPr>
            <w:color w:val="0000EE"/>
            <w:u w:val="single"/>
          </w:rPr>
          <w:t>[1]</w:t>
        </w:r>
      </w:hyperlink>
      <w:hyperlink r:id="rId10">
        <w:r>
          <w:rPr>
            <w:color w:val="0000EE"/>
            <w:u w:val="single"/>
          </w:rPr>
          <w:t>[5]</w:t>
        </w:r>
      </w:hyperlink>
      <w:r/>
    </w:p>
    <w:p>
      <w:r/>
      <w:r>
        <w:t xml:space="preserve">The UAE also broadened its European ties through a UAE–France AI framework that includes a dedicated 1‑gigawatt data centre and joint work on renewable energy, semiconductors and shared research platforms, underscoring a diplomatic as well as technological dimension to the country’s AI push. Reports describe these accords as strategic partnerships designed to couple compute scale with energy and supply‑chain resilience. </w:t>
      </w:r>
      <w:hyperlink r:id="rId9">
        <w:r>
          <w:rPr>
            <w:color w:val="0000EE"/>
            <w:u w:val="single"/>
          </w:rPr>
          <w:t>[1]</w:t>
        </w:r>
      </w:hyperlink>
      <w:hyperlink r:id="rId10">
        <w:r>
          <w:rPr>
            <w:color w:val="0000EE"/>
            <w:u w:val="single"/>
          </w:rPr>
          <w:t>[5]</w:t>
        </w:r>
      </w:hyperlink>
      <w:r/>
    </w:p>
    <w:p>
      <w:r/>
      <w:r>
        <w:t xml:space="preserve">Private finance and venture alignments have amplified public commitments. Economy Middle East and Gulf Today highlight an “AI Infrastructure Partnership” led by UAE‑based MGX in alliance with BlackRock, Global Infrastructure Partners, Microsoft, Nvidia and xAI, with likely investment flows described in the tens of billions of dollars and broader AI‑related spending for 2024–2025 reported above AED543 billion. Industry reporting frames these moves as efforts to build next‑generation data centres and integrated energy solutions. </w:t>
      </w:r>
      <w:hyperlink r:id="rId9">
        <w:r>
          <w:rPr>
            <w:color w:val="0000EE"/>
            <w:u w:val="single"/>
          </w:rPr>
          <w:t>[1]</w:t>
        </w:r>
      </w:hyperlink>
      <w:hyperlink r:id="rId11">
        <w:r>
          <w:rPr>
            <w:color w:val="0000EE"/>
            <w:u w:val="single"/>
          </w:rPr>
          <w:t>[6]</w:t>
        </w:r>
      </w:hyperlink>
      <w:r/>
    </w:p>
    <w:p>
      <w:r/>
      <w:r>
        <w:t xml:space="preserve">Alongside hardware and capital, the UAE has pushed hard on software, models and human capital. Economy Middle East detailed the launch of Jais 2, a 70‑billion‑parameter language model trained on a 600‑billion‑token Arabic‑first dataset, and the unveiling of K2 Think, an open‑source platform for advanced AI reasoning. Emirates NBD Research and Khaleej Times trace those developments to earlier national investments in research institutions such as MBZUAI and note prior Arabic LLM work, framing Jais 2 as part of a sustained programme to localise capability. </w:t>
      </w:r>
      <w:hyperlink r:id="rId9">
        <w:r>
          <w:rPr>
            <w:color w:val="0000EE"/>
            <w:u w:val="single"/>
          </w:rPr>
          <w:t>[1]</w:t>
        </w:r>
      </w:hyperlink>
      <w:hyperlink r:id="rId12">
        <w:r>
          <w:rPr>
            <w:color w:val="0000EE"/>
            <w:u w:val="single"/>
          </w:rPr>
          <w:t>[7]</w:t>
        </w:r>
      </w:hyperlink>
      <w:hyperlink r:id="rId10">
        <w:r>
          <w:rPr>
            <w:color w:val="0000EE"/>
            <w:u w:val="single"/>
          </w:rPr>
          <w:t>[5]</w:t>
        </w:r>
      </w:hyperlink>
      <w:r/>
    </w:p>
    <w:p>
      <w:r/>
      <w:r>
        <w:t xml:space="preserve">The government has paired capability with operational deployment. Economy Middle East reports an AI‑driven legislative analysis system, an AI HR assistant serving more than 50,000 employees and automation across 108 government services. A national study cited in that report finds 44 percent of UAE entities using high‑performance computing across 91 use cases, spanning healthcare, finance and security. Gulf Today and other outlets describe these as examples of the public sector converting compute power into concrete services. </w:t>
      </w:r>
      <w:hyperlink r:id="rId9">
        <w:r>
          <w:rPr>
            <w:color w:val="0000EE"/>
            <w:u w:val="single"/>
          </w:rPr>
          <w:t>[1]</w:t>
        </w:r>
      </w:hyperlink>
      <w:hyperlink r:id="rId11">
        <w:r>
          <w:rPr>
            <w:color w:val="0000EE"/>
            <w:u w:val="single"/>
          </w:rPr>
          <w:t>[6]</w:t>
        </w:r>
      </w:hyperlink>
      <w:r/>
    </w:p>
    <w:p>
      <w:r/>
      <w:r>
        <w:t xml:space="preserve">Public sentiment and skills development have been central to the rollout. KPMG’s Trust in Artificial Intelligence Insights report, as summarised by KPMG and Gulf News, finds 97 percent of UAE residents use AI for work, study or personal purposes, with 53 percent saying benefits outweigh risks and 57 percent calling for stronger AI regulation. Microsoft has complemented national training efforts by pledging to train one million AI learners in the UAE by 2027, a commitment the company announced during Dubai AI Week 2025 aimed at students and educators. Together these initiatives seek to broaden digital literacy while responding to public concerns about trust and governance. </w:t>
      </w:r>
      <w:hyperlink r:id="rId13">
        <w:r>
          <w:rPr>
            <w:color w:val="0000EE"/>
            <w:u w:val="single"/>
          </w:rPr>
          <w:t>[2]</w:t>
        </w:r>
      </w:hyperlink>
      <w:hyperlink r:id="rId14">
        <w:r>
          <w:rPr>
            <w:color w:val="0000EE"/>
            <w:u w:val="single"/>
          </w:rPr>
          <w:t>[3]</w:t>
        </w:r>
      </w:hyperlink>
      <w:hyperlink r:id="rId15">
        <w:r>
          <w:rPr>
            <w:color w:val="0000EE"/>
            <w:u w:val="single"/>
          </w:rPr>
          <w:t>[4]</w:t>
        </w:r>
      </w:hyperlink>
      <w:r/>
    </w:p>
    <w:p>
      <w:r/>
      <w:r>
        <w:t xml:space="preserve">The UAE has also channelled AI for global development. Economy Middle East reports a $1 billion “AI for Development” pledge at the G20 and a $200 million partnership with the Gates Foundation aimed at agricultural AI ecosystems, presenting these as part of a diplomatic narrative that positions the UAE as both a provider of compute and a financier of applied AI projects in emerging markets. The MGX partnership and other private commitments are presented as complementary flows of capital intended to sustain long‑term infrastructure and research goals. </w:t>
      </w:r>
      <w:hyperlink r:id="rId9">
        <w:r>
          <w:rPr>
            <w:color w:val="0000EE"/>
            <w:u w:val="single"/>
          </w:rPr>
          <w:t>[1]</w:t>
        </w:r>
      </w:hyperlink>
      <w:r/>
    </w:p>
    <w:p>
      <w:r/>
      <w:r>
        <w:t xml:space="preserve">Regulation, cybersecurity and cultural alignment have been foregrounded alongside scale. The UAE Cabinet and Google Cloud launched a Cybersecurity Excellence Centre projected to create more than 20,000 jobs, while authorities introduced an “AI in the Ring” index designed to measure how models reflect national cultural principles. These steps reflect a dual effort to secure AI systems and to articulate local values as the country exports its technological know‑how. </w:t>
      </w:r>
      <w:hyperlink r:id="rId9">
        <w:r>
          <w:rPr>
            <w:color w:val="0000EE"/>
            <w:u w:val="single"/>
          </w:rPr>
          <w:t>[1]</w:t>
        </w:r>
      </w:hyperlink>
      <w:r/>
    </w:p>
    <w:p>
      <w:r/>
      <w:r>
        <w:t xml:space="preserve">Taken together, reporting from Economy Middle East, Khaleej Times, Gulf Today, Emirates NBD Research, KPMG and Microsoft sketches a concerted state‑led push that combines ambitious compute projects, international alliances, large private‑sector capital commitments, model development and mass skills programmes. Industry sources and national studies cited in those accounts present the UAE’s 2025 posture as one that pairs scale with a declared emphasis on governance, workforce development and international cooperation. </w:t>
      </w:r>
      <w:hyperlink r:id="rId9">
        <w:r>
          <w:rPr>
            <w:color w:val="0000EE"/>
            <w:u w:val="single"/>
          </w:rPr>
          <w:t>[1]</w:t>
        </w:r>
      </w:hyperlink>
      <w:hyperlink r:id="rId10">
        <w:r>
          <w:rPr>
            <w:color w:val="0000EE"/>
            <w:u w:val="single"/>
          </w:rPr>
          <w:t>[5]</w:t>
        </w:r>
      </w:hyperlink>
      <w:hyperlink r:id="rId11">
        <w:r>
          <w:rPr>
            <w:color w:val="0000EE"/>
            <w:u w:val="single"/>
          </w:rPr>
          <w:t>[6]</w:t>
        </w:r>
      </w:hyperlink>
      <w:hyperlink r:id="rId12">
        <w:r>
          <w:rPr>
            <w:color w:val="0000EE"/>
            <w:u w:val="single"/>
          </w:rPr>
          <w:t>[7]</w:t>
        </w:r>
      </w:hyperlink>
      <w:hyperlink r:id="rId13">
        <w:r>
          <w:rPr>
            <w:color w:val="0000EE"/>
            <w:u w:val="single"/>
          </w:rPr>
          <w:t>[2]</w:t>
        </w:r>
      </w:hyperlink>
      <w:hyperlink r:id="rId15">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(Economy Middle East) - Paragraph 1, Paragraph 2, Paragraph 4, Paragraph 5, Paragraph 6, Paragraph 8, Paragraph 9</w:t>
      </w:r>
      <w:r/>
    </w:p>
    <w:p>
      <w:pPr>
        <w:pStyle w:val="ListBullet"/>
        <w:spacing w:line="240" w:lineRule="auto"/>
        <w:ind w:left="720"/>
      </w:pPr>
      <w:r/>
      <w:hyperlink r:id="rId10">
        <w:r>
          <w:rPr>
            <w:color w:val="0000EE"/>
            <w:u w:val="single"/>
          </w:rPr>
          <w:t>[5]</w:t>
        </w:r>
      </w:hyperlink>
      <w:r>
        <w:t xml:space="preserve"> (Khaleej Times) - Paragraph 2, Paragraph 3, Paragraph 10</w:t>
      </w:r>
      <w:r/>
    </w:p>
    <w:p>
      <w:pPr>
        <w:pStyle w:val="ListBullet"/>
        <w:spacing w:line="240" w:lineRule="auto"/>
        <w:ind w:left="720"/>
      </w:pPr>
      <w:r/>
      <w:hyperlink r:id="rId11">
        <w:r>
          <w:rPr>
            <w:color w:val="0000EE"/>
            <w:u w:val="single"/>
          </w:rPr>
          <w:t>[6]</w:t>
        </w:r>
      </w:hyperlink>
      <w:r>
        <w:t xml:space="preserve"> (Gulf Today) - Paragraph 1, Paragraph 6, Paragraph 10</w:t>
      </w:r>
      <w:r/>
    </w:p>
    <w:p>
      <w:pPr>
        <w:pStyle w:val="ListBullet"/>
        <w:spacing w:line="240" w:lineRule="auto"/>
        <w:ind w:left="720"/>
      </w:pPr>
      <w:r/>
      <w:hyperlink r:id="rId12">
        <w:r>
          <w:rPr>
            <w:color w:val="0000EE"/>
            <w:u w:val="single"/>
          </w:rPr>
          <w:t>[7]</w:t>
        </w:r>
      </w:hyperlink>
      <w:r>
        <w:t xml:space="preserve"> (Emirates NBD Research) - Paragraph 5, Paragraph 10</w:t>
      </w:r>
      <w:r/>
    </w:p>
    <w:p>
      <w:pPr>
        <w:pStyle w:val="ListBullet"/>
        <w:spacing w:line="240" w:lineRule="auto"/>
        <w:ind w:left="720"/>
      </w:pPr>
      <w:r/>
      <w:hyperlink r:id="rId13">
        <w:r>
          <w:rPr>
            <w:color w:val="0000EE"/>
            <w:u w:val="single"/>
          </w:rPr>
          <w:t>[2]</w:t>
        </w:r>
      </w:hyperlink>
      <w:r>
        <w:t xml:space="preserve"> (KPMG) - Paragraph 7, Paragraph 10</w:t>
      </w:r>
      <w:r/>
    </w:p>
    <w:p>
      <w:pPr>
        <w:pStyle w:val="ListBullet"/>
        <w:spacing w:line="240" w:lineRule="auto"/>
        <w:ind w:left="720"/>
      </w:pPr>
      <w:r/>
      <w:hyperlink r:id="rId14">
        <w:r>
          <w:rPr>
            <w:color w:val="0000EE"/>
            <w:u w:val="single"/>
          </w:rPr>
          <w:t>[3]</w:t>
        </w:r>
      </w:hyperlink>
      <w:r>
        <w:t xml:space="preserve"> (Gulf News) - Paragraph 7</w:t>
      </w:r>
      <w:r/>
    </w:p>
    <w:p>
      <w:pPr>
        <w:pStyle w:val="ListBullet"/>
        <w:spacing w:line="240" w:lineRule="auto"/>
        <w:ind w:left="720"/>
      </w:pPr>
      <w:r/>
      <w:hyperlink r:id="rId15">
        <w:r>
          <w:rPr>
            <w:color w:val="0000EE"/>
            <w:u w:val="single"/>
          </w:rPr>
          <w:t>[4]</w:t>
        </w:r>
      </w:hyperlink>
      <w:r>
        <w:t xml:space="preserve"> (Microsoft News) - Paragraph 7,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https://economymiddleeast.com/news/uae-leads-world-with-97-percent-ai-tool-use-in-government-in-2025/?utm_source=rss&amp;utm_medium=rss&amp;utm_campaign=uae-leads-world-with-97-percent-ai-tool-use-in-government-in-2025</w:t>
        </w:r>
      </w:hyperlink>
      <w:r>
        <w:t xml:space="preserve"> - Please view link - unable to able to access data</w:t>
      </w:r>
      <w:r/>
    </w:p>
    <w:p>
      <w:pPr>
        <w:pStyle w:val="ListNumber"/>
        <w:spacing w:line="240" w:lineRule="auto"/>
        <w:ind w:left="720"/>
      </w:pPr>
      <w:r/>
      <w:hyperlink r:id="rId13">
        <w:r>
          <w:rPr>
            <w:color w:val="0000EE"/>
            <w:u w:val="single"/>
          </w:rPr>
          <w:t>https://kpmg.com/ae/en/media/press-releases/2025/10/97-percent-of-uae-residents-now-use-ai.html</w:t>
        </w:r>
      </w:hyperlink>
      <w:r>
        <w:t xml:space="preserve"> - A KPMG report reveals that 97% of UAE residents utilise AI for work, study, or personal purposes, positioning the nation as a regional leader in AI adoption. The study also highlights that 53% of respondents believe the benefits of AI outweigh the risks, and 57% advocate for AI regulation to ensure safe usage. Additionally, 84% would trust AI systems more if assured of their trustworthy use. The findings underscore the UAE's commitment to responsible AI integration across various sectors.</w:t>
      </w:r>
      <w:r/>
    </w:p>
    <w:p>
      <w:pPr>
        <w:pStyle w:val="ListNumber"/>
        <w:spacing w:line="240" w:lineRule="auto"/>
        <w:ind w:left="720"/>
      </w:pPr>
      <w:r/>
      <w:hyperlink r:id="rId14">
        <w:r>
          <w:rPr>
            <w:color w:val="0000EE"/>
            <w:u w:val="single"/>
          </w:rPr>
          <w:t>https://gulfnews.com/technology/uae-leads-global-ai-adoption-with-97-of-residents-using-it-1.500300415</w:t>
        </w:r>
      </w:hyperlink>
      <w:r>
        <w:t xml:space="preserve"> - Gulf News reports that the UAE leads globally in AI adoption, with 97% of residents using AI for work, study, or personal purposes. The article discusses the findings of KPMG's Trust in Artificial Intelligence Insights report, highlighting the country's advanced AI literacy and the public's positive sentiment towards AI. It also notes the growing call for stronger AI regulations to ensure safe usage, reflecting the UAE's proactive approach to integrating AI into daily life.</w:t>
      </w:r>
      <w:r/>
    </w:p>
    <w:p>
      <w:pPr>
        <w:pStyle w:val="ListNumber"/>
        <w:spacing w:line="240" w:lineRule="auto"/>
        <w:ind w:left="720"/>
      </w:pPr>
      <w:r/>
      <w:hyperlink r:id="rId15">
        <w:r>
          <w:rPr>
            <w:color w:val="0000EE"/>
            <w:u w:val="single"/>
          </w:rPr>
          <w:t>https://news.microsoft.com/en-xm/2025/04/22/microsoft-advances-1-million-ai-learners-commitment-at-dubai-ai-week-2025/</w:t>
        </w:r>
      </w:hyperlink>
      <w:r>
        <w:t xml:space="preserve"> - Microsoft has committed to training one million AI learners in the UAE by 2027, as announced during Dubai AI Week 2025. The initiative aims to equip students and educators with AI skills, enhancing digital literacy across the nation. Microsoft plans to conduct virtual sessions in Dubai's private schools, teaching students about AI applications in tools like Bing Chat and Minecraft. The programme also focuses on empowering teachers with resources to integrate AI into education, supporting the UAE's vision for a digitally fluent society.</w:t>
      </w:r>
      <w:r/>
    </w:p>
    <w:p>
      <w:pPr>
        <w:pStyle w:val="ListNumber"/>
        <w:spacing w:line="240" w:lineRule="auto"/>
        <w:ind w:left="720"/>
      </w:pPr>
      <w:r/>
      <w:hyperlink r:id="rId10">
        <w:r>
          <w:rPr>
            <w:color w:val="0000EE"/>
            <w:u w:val="single"/>
          </w:rPr>
          <w:t>https://www.khaleejtimes.com/uae/top-10-artificial-intelligence-milestones-in-2025</w:t>
        </w:r>
      </w:hyperlink>
      <w:r>
        <w:t xml:space="preserve"> - Khaleej Times outlines the UAE's top 10 AI milestones in 2025, including the establishment of a 5-gigawatt UAE–US AI Campus in Abu Dhabi, marking the largest supercomputing cluster outside the United States. The article also highlights the launch of the 'Stargate UAE' project, a 1-gigawatt initiative involving major tech companies, and the UAE–France AI framework, which includes a dedicated 1-gigawatt data centre and joint projects in renewable energy and advanced semiconductors.</w:t>
      </w:r>
      <w:r/>
    </w:p>
    <w:p>
      <w:pPr>
        <w:pStyle w:val="ListNumber"/>
        <w:spacing w:line="240" w:lineRule="auto"/>
        <w:ind w:left="720"/>
      </w:pPr>
      <w:r/>
      <w:hyperlink r:id="rId11">
        <w:r>
          <w:rPr>
            <w:color w:val="0000EE"/>
            <w:u w:val="single"/>
          </w:rPr>
          <w:t>https://www.gulftoday.ae/news/2025/12/22/uae-marks-2025-with-strategic-ai-transformation-infrastructure-leadership</w:t>
        </w:r>
      </w:hyperlink>
      <w:r>
        <w:t xml:space="preserve"> - Gulf Today reports on the UAE's strategic AI transformation in 2025, highlighting the nation's 97% adoption rate of AI tools across government entities and the surpassing of 450,000 programmers. The article details significant international partnerships, including the establishment of a 5-gigawatt UAE–US AI Campus in Abu Dhabi and the launch of the 'Stargate UAE' project, a 1-gigawatt initiative involving major tech companies. It also discusses the UAE–France AI framework, focusing on renewable energy and advanced semiconductors.</w:t>
      </w:r>
      <w:r/>
    </w:p>
    <w:p>
      <w:pPr>
        <w:pStyle w:val="ListNumber"/>
        <w:spacing w:line="240" w:lineRule="auto"/>
        <w:ind w:left="720"/>
      </w:pPr>
      <w:r/>
      <w:hyperlink r:id="rId12">
        <w:r>
          <w:rPr>
            <w:color w:val="0000EE"/>
            <w:u w:val="single"/>
          </w:rPr>
          <w:t>https://www.emiratesnbdresearch.com/-/media/research/article/2025/june/ai-report-june-2025-pdf.pdf</w:t>
        </w:r>
      </w:hyperlink>
      <w:r>
        <w:t xml:space="preserve"> - Emirates NBD Research's report provides an overview of the UAE's AI infrastructure build-out, detailing the establishment of the world's first Ministry of Artificial Intelligence and the Mohamed bin Zayed University of Artificial Intelligence (MBZUAI). The report highlights MBZUAI's development of the PAN World Model, supporting autonomous driving and drone navigation, and its launch of Jais, an Arabic large language model. It also discusses the UAE's AI 2031 strategy and significant investments in ICT and internet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ymiddleeast.com/news/uae-leads-world-with-97-percent-ai-tool-use-in-government-in-2025/?utm_source=rss&amp;utm_medium=rss&amp;utm_campaign=uae-leads-world-with-97-percent-ai-tool-use-in-government-in-2025" TargetMode="External"/><Relationship Id="rId10" Type="http://schemas.openxmlformats.org/officeDocument/2006/relationships/hyperlink" Target="https://www.khaleejtimes.com/uae/top-10-artificial-intelligence-milestones-in-2025" TargetMode="External"/><Relationship Id="rId11" Type="http://schemas.openxmlformats.org/officeDocument/2006/relationships/hyperlink" Target="https://www.gulftoday.ae/news/2025/12/22/uae-marks-2025-with-strategic-ai-transformation-infrastructure-leadership" TargetMode="External"/><Relationship Id="rId12" Type="http://schemas.openxmlformats.org/officeDocument/2006/relationships/hyperlink" Target="https://www.emiratesnbdresearch.com/-/media/research/article/2025/june/ai-report-june-2025-pdf.pdf" TargetMode="External"/><Relationship Id="rId13" Type="http://schemas.openxmlformats.org/officeDocument/2006/relationships/hyperlink" Target="https://kpmg.com/ae/en/media/press-releases/2025/10/97-percent-of-uae-residents-now-use-ai.html" TargetMode="External"/><Relationship Id="rId14" Type="http://schemas.openxmlformats.org/officeDocument/2006/relationships/hyperlink" Target="https://gulfnews.com/technology/uae-leads-global-ai-adoption-with-97-of-residents-using-it-1.500300415" TargetMode="External"/><Relationship Id="rId15" Type="http://schemas.openxmlformats.org/officeDocument/2006/relationships/hyperlink" Target="https://news.microsoft.com/en-xm/2025/04/22/microsoft-advances-1-million-ai-learners-commitment-at-dubai-ai-week-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