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Beazley's $500 million Bermuda platform aims to disrupt cyber ILS market with new strategic investment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Beazley has committed $500 million to establish a new Bermuda platform designed to accelerate its move into alternative risk transfer and insurance-linked securities (ILS), with a specific focus on cyber risk. According to the original report, the London-headquartered specialist insurer intends the Bermuda operation to underpin a cyber ILS fund strategy and broaden access to third‑party capital. </w:t>
      </w:r>
      <w:hyperlink r:id="rId9">
        <w:r>
          <w:rPr>
            <w:color w:val="0000EE"/>
            <w:u w:val="single"/>
          </w:rPr>
          <w:t>[1]</w:t>
        </w:r>
      </w:hyperlink>
      <w:hyperlink r:id="rId10">
        <w:r>
          <w:rPr>
            <w:color w:val="0000EE"/>
            <w:u w:val="single"/>
          </w:rPr>
          <w:t>[2]</w:t>
        </w:r>
      </w:hyperlink>
      <w:hyperlink r:id="rId11">
        <w:r>
          <w:rPr>
            <w:color w:val="0000EE"/>
            <w:u w:val="single"/>
          </w:rPr>
          <w:t>[4]</w:t>
        </w:r>
      </w:hyperlink>
      <w:r/>
    </w:p>
    <w:p>
      <w:r/>
      <w:r>
        <w:t xml:space="preserve">The company’s chief executive, Adrian Cox, told reporters the Bermuda venture will be a joint venture with an established Bermudian ILS market participant, using Beazley’s cyber underwriting expertise to attract external capital into the cyber reinsurance market. The operation is expected to be operational from early 2026, subject to regulatory approval, and management expects material premium growth by 2030. </w:t>
      </w:r>
      <w:hyperlink r:id="rId9">
        <w:r>
          <w:rPr>
            <w:color w:val="0000EE"/>
            <w:u w:val="single"/>
          </w:rPr>
          <w:t>[1]</w:t>
        </w:r>
      </w:hyperlink>
      <w:hyperlink r:id="rId12">
        <w:r>
          <w:rPr>
            <w:color w:val="0000EE"/>
            <w:u w:val="single"/>
          </w:rPr>
          <w:t>[3]</w:t>
        </w:r>
      </w:hyperlink>
      <w:hyperlink r:id="rId10">
        <w:r>
          <w:rPr>
            <w:color w:val="0000EE"/>
            <w:u w:val="single"/>
          </w:rPr>
          <w:t>[2]</w:t>
        </w:r>
      </w:hyperlink>
      <w:hyperlink r:id="rId11">
        <w:r>
          <w:rPr>
            <w:color w:val="0000EE"/>
            <w:u w:val="single"/>
          </w:rPr>
          <w:t>[4]</w:t>
        </w:r>
      </w:hyperlink>
      <w:r/>
    </w:p>
    <w:p>
      <w:r/>
      <w:r>
        <w:t xml:space="preserve">Analysts welcomed the move as strategically sensible for cycle management and capital flexibility. Peel Hunt’s analysts characterised the decision as “a strategic investment irrespective of the phase of the cycle,” arguing that a Bermuda presence gives Beazley greater ability to access third‑party capital outside the Lloyd’s market and to flex retained risk on peak exposures such as cyber and property. They also warned the near‑term effect may be to temper capital returns while the new platform scales. </w:t>
      </w:r>
      <w:hyperlink r:id="rId9">
        <w:r>
          <w:rPr>
            <w:color w:val="0000EE"/>
            <w:u w:val="single"/>
          </w:rPr>
          <w:t>[1]</w:t>
        </w:r>
      </w:hyperlink>
      <w:hyperlink r:id="rId13">
        <w:r>
          <w:rPr>
            <w:color w:val="0000EE"/>
            <w:u w:val="single"/>
          </w:rPr>
          <w:t>[5]</w:t>
        </w:r>
      </w:hyperlink>
      <w:r/>
    </w:p>
    <w:p>
      <w:r/>
      <w:r>
        <w:t xml:space="preserve">Other broker research echoed those themes. Autonomous Research said the cyber ILS plans “feel a natural extension of their cyber presence and expertise.” Jefferies noted the approach carries lower execution risk than an acquisition and could yield expense‑ratio improvements from efficiency gains. RBC Capital Markets and Goldman Sachs both flagged the strategic logic of supporting a cyber re‑ILS market and the benefits of improved access to risk pools through a Bermudian platform. </w:t>
      </w:r>
      <w:hyperlink r:id="rId9">
        <w:r>
          <w:rPr>
            <w:color w:val="0000EE"/>
            <w:u w:val="single"/>
          </w:rPr>
          <w:t>[1]</w:t>
        </w:r>
      </w:hyperlink>
      <w:r/>
    </w:p>
    <w:p>
      <w:r/>
      <w:r>
        <w:t xml:space="preserve">Berenberg was more specific on returns, suggesting the Bermuda unit “opens new avenues for growth” and estimating the return on invested capital from the initiative could be in the region of 18–20%, above Beazley’s through‑the‑cycle ROE target of 15%. Several analysts nonetheless emphasised that meaningful growth from the Bermuda operation will be incremental and will depend on the broader performance of Beazley’s re/insurance franchises. </w:t>
      </w:r>
      <w:hyperlink r:id="rId9">
        <w:r>
          <w:rPr>
            <w:color w:val="0000EE"/>
            <w:u w:val="single"/>
          </w:rPr>
          <w:t>[1]</w:t>
        </w:r>
      </w:hyperlink>
      <w:r/>
    </w:p>
    <w:p>
      <w:r/>
      <w:r>
        <w:t xml:space="preserve">The move builds on Beazley’s recent activity in capital markets‑linked cyber protection. The firm has already issued cyber catastrophe bonds , closing a $140 million 144A cyber cat bond and subsequently securing an additional $160 million under a second 144A cyber cat bond listed on the Bermuda Stock Exchange , signalling an established track record in transferring cyber risk to capital markets investors. Industry data shows these transactions have helped expand the pool of capital available for cyber perils. </w:t>
      </w:r>
      <w:hyperlink r:id="rId14">
        <w:r>
          <w:rPr>
            <w:color w:val="0000EE"/>
            <w:u w:val="single"/>
          </w:rPr>
          <w:t>[7]</w:t>
        </w:r>
      </w:hyperlink>
      <w:hyperlink r:id="rId15">
        <w:r>
          <w:rPr>
            <w:color w:val="0000EE"/>
            <w:u w:val="single"/>
          </w:rPr>
          <w:t>[6]</w:t>
        </w:r>
      </w:hyperlink>
      <w:r/>
    </w:p>
    <w:p>
      <w:r/>
      <w:r>
        <w:t xml:space="preserve">For Beazley, the Bermuda investment is both a tactical response to a softer underwriting cycle and a longer‑term strategic play to monetise cyber underwriting expertise via ILS structures. The company claims the new platform will allow it to attract differentiated investor capital while supporting growth in cyber-related premium volumes over the coming years. Analysts broadly expect the initiative to compound value over time, even if it briefly reduces the scope for special dividends or buybacks while capital is deployed. </w:t>
      </w:r>
      <w:hyperlink r:id="rId10">
        <w:r>
          <w:rPr>
            <w:color w:val="0000EE"/>
            <w:u w:val="single"/>
          </w:rPr>
          <w:t>[2]</w:t>
        </w:r>
      </w:hyperlink>
      <w:hyperlink r:id="rId9">
        <w:r>
          <w:rPr>
            <w:color w:val="0000EE"/>
            <w:u w:val="single"/>
          </w:rPr>
          <w:t>[1]</w:t>
        </w:r>
      </w:hyperlink>
      <w:hyperlink r:id="rId13">
        <w:r>
          <w:rPr>
            <w:color w:val="0000EE"/>
            <w:u w:val="single"/>
          </w:rPr>
          <w:t>[5]</w:t>
        </w:r>
      </w:hyperlink>
      <w:r/>
    </w:p>
    <w:p>
      <w:r/>
      <w:r>
        <w:t xml:space="preserve">Beyond the corporate implications, the decision is being read as a further vote of confidence in Bermuda’s insurance, reinsurance and ILS ecosystem , its market infrastructure, investor base and regulatory environment , and is likely to intensify competition in the nascent cyber ILS arena as more sponsors and investors target cyber’s growing aggregate exposures. </w:t>
      </w:r>
      <w:hyperlink r:id="rId9">
        <w:r>
          <w:rPr>
            <w:color w:val="0000EE"/>
            <w:u w:val="single"/>
          </w:rPr>
          <w:t>[1]</w:t>
        </w:r>
      </w:hyperlink>
      <w:hyperlink r:id="rId10">
        <w:r>
          <w:rPr>
            <w:color w:val="0000EE"/>
            <w:u w:val="single"/>
          </w:rPr>
          <w:t>[2]</w:t>
        </w:r>
      </w:hyperlink>
      <w:hyperlink r:id="rId15">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(Artemis) - Paragraph 1, Paragraph 2, Paragraph 3, Paragraph 4, Paragraph 5, Paragraph 7, Paragraph 8 </w:t>
      </w:r>
      <w:r/>
    </w:p>
    <w:p>
      <w:pPr>
        <w:pStyle w:val="ListBullet"/>
        <w:spacing w:line="240" w:lineRule="auto"/>
        <w:ind w:left="720"/>
      </w:pPr>
      <w:r/>
      <w:hyperlink r:id="rId10">
        <w:r>
          <w:rPr>
            <w:color w:val="0000EE"/>
            <w:u w:val="single"/>
          </w:rPr>
          <w:t>[2]</w:t>
        </w:r>
      </w:hyperlink>
      <w:r>
        <w:t xml:space="preserve"> (Artemis) - Paragraph 1, Paragraph 2, Paragraph 7 </w:t>
      </w:r>
      <w:r/>
    </w:p>
    <w:p>
      <w:pPr>
        <w:pStyle w:val="ListBullet"/>
        <w:spacing w:line="240" w:lineRule="auto"/>
        <w:ind w:left="720"/>
      </w:pPr>
      <w:r/>
      <w:hyperlink r:id="rId12">
        <w:r>
          <w:rPr>
            <w:color w:val="0000EE"/>
            <w:u w:val="single"/>
          </w:rPr>
          <w:t>[3]</w:t>
        </w:r>
      </w:hyperlink>
      <w:r>
        <w:t xml:space="preserve"> (Artemis) - Paragraph 2 </w:t>
      </w:r>
      <w:r/>
    </w:p>
    <w:p>
      <w:pPr>
        <w:pStyle w:val="ListBullet"/>
        <w:spacing w:line="240" w:lineRule="auto"/>
        <w:ind w:left="720"/>
      </w:pPr>
      <w:r/>
      <w:hyperlink r:id="rId11">
        <w:r>
          <w:rPr>
            <w:color w:val="0000EE"/>
            <w:u w:val="single"/>
          </w:rPr>
          <w:t>[4]</w:t>
        </w:r>
      </w:hyperlink>
      <w:r>
        <w:t xml:space="preserve"> (Artemis) - Paragraph 1, Paragraph 2 </w:t>
      </w:r>
      <w:r/>
    </w:p>
    <w:p>
      <w:pPr>
        <w:pStyle w:val="ListBullet"/>
        <w:spacing w:line="240" w:lineRule="auto"/>
        <w:ind w:left="720"/>
      </w:pPr>
      <w:r/>
      <w:hyperlink r:id="rId13">
        <w:r>
          <w:rPr>
            <w:color w:val="0000EE"/>
            <w:u w:val="single"/>
          </w:rPr>
          <w:t>[5]</w:t>
        </w:r>
      </w:hyperlink>
      <w:r>
        <w:t xml:space="preserve"> (Artemis) - Paragraph 3, Paragraph 7 </w:t>
      </w:r>
      <w:r/>
    </w:p>
    <w:p>
      <w:pPr>
        <w:pStyle w:val="ListBullet"/>
        <w:spacing w:line="240" w:lineRule="auto"/>
        <w:ind w:left="720"/>
      </w:pPr>
      <w:r/>
      <w:hyperlink r:id="rId15">
        <w:r>
          <w:rPr>
            <w:color w:val="0000EE"/>
            <w:u w:val="single"/>
          </w:rPr>
          <w:t>[6]</w:t>
        </w:r>
      </w:hyperlink>
      <w:r>
        <w:t xml:space="preserve"> (Artemis) - Paragraph 6, Paragraph 8 </w:t>
      </w:r>
      <w:r/>
    </w:p>
    <w:p>
      <w:pPr>
        <w:pStyle w:val="ListBullet"/>
        <w:spacing w:line="240" w:lineRule="auto"/>
        <w:ind w:left="720"/>
      </w:pPr>
      <w:r/>
      <w:hyperlink r:id="rId14">
        <w:r>
          <w:rPr>
            <w:color w:val="0000EE"/>
            <w:u w:val="single"/>
          </w:rPr>
          <w:t>[7]</w:t>
        </w:r>
      </w:hyperlink>
      <w:r>
        <w:t xml:space="preserve"> (Artemis)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https://www.artemis.bm/news/beazley-bermuda-a-strategic-investment-irrespective-of-the-phase-of-the-cycle-peel-hunt/?utm_source=rss&amp;utm_medium=rss&amp;utm_campaign=beazley-bermuda-a-strategic-investment-irrespective-of-the-phase-of-the-cycle-peel-hunt</w:t>
        </w:r>
      </w:hyperlink>
      <w:r>
        <w:t xml:space="preserve"> - Please view link - unable to able to access data</w:t>
      </w:r>
      <w:r/>
    </w:p>
    <w:p>
      <w:pPr>
        <w:pStyle w:val="ListNumber"/>
        <w:spacing w:line="240" w:lineRule="auto"/>
        <w:ind w:left="720"/>
      </w:pPr>
      <w:r/>
      <w:hyperlink r:id="rId10">
        <w:r>
          <w:rPr>
            <w:color w:val="0000EE"/>
            <w:u w:val="single"/>
          </w:rPr>
          <w:t>https://www.artemis.bm/news/beazley-launches-bermuda-platform-with-500m-to-support-art-ils-expansion-and-growth/</w:t>
        </w:r>
      </w:hyperlink>
      <w:r>
        <w:t xml:space="preserve"> - Beazley, a London-based specialist insurer, has announced plans to invest $500 million to establish a new platform in Bermuda. This initiative aims to drive growth and expansion into the alternative risk transfer market, including insurance-linked securities (ILS) opportunities. The Bermuda operation will focus on cyber ILS, with plans to launch a cyber ILS fund strategy. The company anticipates that this venture will be operational from early 2026, subject to regulatory approval, and expects significant growth in premium volume by 2030.</w:t>
      </w:r>
      <w:r/>
    </w:p>
    <w:p>
      <w:pPr>
        <w:pStyle w:val="ListNumber"/>
        <w:spacing w:line="240" w:lineRule="auto"/>
        <w:ind w:left="720"/>
      </w:pPr>
      <w:r/>
      <w:hyperlink r:id="rId12">
        <w:r>
          <w:rPr>
            <w:color w:val="0000EE"/>
            <w:u w:val="single"/>
          </w:rPr>
          <w:t>https://www.artemis.bm/news/beazley-partnering-with-established-ils-player-on-bermuda-cyber-ils-fund-ceo-cox/</w:t>
        </w:r>
      </w:hyperlink>
      <w:r>
        <w:t xml:space="preserve"> - Beazley’s CEO, Adrian Cox, revealed that the firm's plans to broaden into cyber insurance-linked securities (ILS) through its new Bermuda branch involve a joint venture with an established ILS market player. This collaboration aims to leverage Beazley’s underwriting expertise to attract third-party capital to the cyber reinsurance market. The Bermuda operation is expected to be operational from early 2026, subject to regulatory approval, and is anticipated to drive significant growth in premium volume by 2030.</w:t>
      </w:r>
      <w:r/>
    </w:p>
    <w:p>
      <w:pPr>
        <w:pStyle w:val="ListNumber"/>
        <w:spacing w:line="240" w:lineRule="auto"/>
        <w:ind w:left="720"/>
      </w:pPr>
      <w:r/>
      <w:hyperlink r:id="rId11">
        <w:r>
          <w:rPr>
            <w:color w:val="0000EE"/>
            <w:u w:val="single"/>
          </w:rPr>
          <w:t>https://www.artemis.bm/news/beazley-planning-to-launch-cyber-ils-fund-under-new-bermuda-platform-cox/</w:t>
        </w:r>
      </w:hyperlink>
      <w:r>
        <w:t xml:space="preserve"> - Beazley plans to launch a cyber insurance-linked securities (ILS) fund under its new Bermuda platform, according to CEO Adrian Cox. This initiative is part of Beazley’s strategy to expand into the alternative risk transfer market, including ILS opportunities. The Bermuda operation is expected to be operational from early 2026, subject to regulatory approval, and aims to drive growth and expansion in the cyber ILS market.</w:t>
      </w:r>
      <w:r/>
    </w:p>
    <w:p>
      <w:pPr>
        <w:pStyle w:val="ListNumber"/>
        <w:spacing w:line="240" w:lineRule="auto"/>
        <w:ind w:left="720"/>
      </w:pPr>
      <w:r/>
      <w:hyperlink r:id="rId13">
        <w:r>
          <w:rPr>
            <w:color w:val="0000EE"/>
            <w:u w:val="single"/>
          </w:rPr>
          <w:t>https://www.artemis.bm/news/beazley-bermuda-a-strategic-investment-irrespective-of-the-phase-of-the-cycle-peel-hunt/</w:t>
        </w:r>
      </w:hyperlink>
      <w:r>
        <w:t xml:space="preserve"> - Analysts at Peel Hunt view Beazley’s establishment of a new Bermuda operation as a strategic investment, irrespective of the phase of the underwriting cycle. They highlight how this move can increase access to third-party capital, particularly with the returns of Beazley’s cyber underwriting expertise now set to become accessible to ILS investors. The Bermuda venture is seen as a way to offset part of the premium declines anticipated due to the softening of the cycle.</w:t>
      </w:r>
      <w:r/>
    </w:p>
    <w:p>
      <w:pPr>
        <w:pStyle w:val="ListNumber"/>
        <w:spacing w:line="240" w:lineRule="auto"/>
        <w:ind w:left="720"/>
      </w:pPr>
      <w:r/>
      <w:hyperlink r:id="rId15">
        <w:r>
          <w:rPr>
            <w:color w:val="0000EE"/>
            <w:u w:val="single"/>
          </w:rPr>
          <w:t>https://www.artemis.bm/news/beazley-issues-second-cyber-cat-bond/</w:t>
        </w:r>
      </w:hyperlink>
      <w:r>
        <w:t xml:space="preserve"> - Beazley has secured an additional $160 million of cyber reinsurance coverage through a second 144A cyber catastrophe bond under Bermuda-based PoleStar Re, taking the total series to $300 million. Both bonds, which are due in 2026 and 2027, have been listed on the Bermuda Stock Exchange. This issuance follows Beazley’s inaugural 144A cyber cat bond earlier this year, marking a significant development in the cyber catastrophe bond market.</w:t>
      </w:r>
      <w:r/>
    </w:p>
    <w:p>
      <w:pPr>
        <w:pStyle w:val="ListNumber"/>
        <w:spacing w:line="240" w:lineRule="auto"/>
        <w:ind w:left="720"/>
      </w:pPr>
      <w:r/>
      <w:hyperlink r:id="rId14">
        <w:r>
          <w:rPr>
            <w:color w:val="0000EE"/>
            <w:u w:val="single"/>
          </w:rPr>
          <w:t>https://www.artemis.bm/news/beazley-closes-140m-cyber-catastrophe-bond/</w:t>
        </w:r>
      </w:hyperlink>
      <w:r>
        <w:t xml:space="preserve"> - Beazley has successfully closed its first 144A cyber catastrophe bond, providing $140 million in coverage. This bond is designed to cover remote probability catastrophic and systemic events and is structured on an indemnity trigger and per-occurrence basis. The bond has a two-year term, extending through to the end of 2025. This issuance builds on Beazley’s earlier $81.5 million cyber catastrophe bond programme launched in 2023.</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rtemis.bm/news/beazley-bermuda-a-strategic-investment-irrespective-of-the-phase-of-the-cycle-peel-hunt/?utm_source=rss&amp;utm_medium=rss&amp;utm_campaign=beazley-bermuda-a-strategic-investment-irrespective-of-the-phase-of-the-cycle-peel-hunt" TargetMode="External"/><Relationship Id="rId10" Type="http://schemas.openxmlformats.org/officeDocument/2006/relationships/hyperlink" Target="https://www.artemis.bm/news/beazley-launches-bermuda-platform-with-500m-to-support-art-ils-expansion-and-growth/" TargetMode="External"/><Relationship Id="rId11" Type="http://schemas.openxmlformats.org/officeDocument/2006/relationships/hyperlink" Target="https://www.artemis.bm/news/beazley-planning-to-launch-cyber-ils-fund-under-new-bermuda-platform-cox/" TargetMode="External"/><Relationship Id="rId12" Type="http://schemas.openxmlformats.org/officeDocument/2006/relationships/hyperlink" Target="https://www.artemis.bm/news/beazley-partnering-with-established-ils-player-on-bermuda-cyber-ils-fund-ceo-cox/" TargetMode="External"/><Relationship Id="rId13" Type="http://schemas.openxmlformats.org/officeDocument/2006/relationships/hyperlink" Target="https://www.artemis.bm/news/beazley-bermuda-a-strategic-investment-irrespective-of-the-phase-of-the-cycle-peel-hunt/" TargetMode="External"/><Relationship Id="rId14" Type="http://schemas.openxmlformats.org/officeDocument/2006/relationships/hyperlink" Target="https://www.artemis.bm/news/beazley-closes-140m-cyber-catastrophe-bond/" TargetMode="External"/><Relationship Id="rId15" Type="http://schemas.openxmlformats.org/officeDocument/2006/relationships/hyperlink" Target="https://www.artemis.bm/news/beazley-issues-second-cyber-cat-bo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