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Beazley’s Bermuda expansion aims to disrupt captive and ILS markets with $500 million investment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Beazley has unveiled a major expansion into Bermuda as it reported broadly steady first‑nine‑month results for 2025, saying the new platform will underpin a push into captives, alternative risk transfer (ART) and insurance‑linked securities (ILS) from 2026. According to the original report, the London‑headquartered specialist will deploy $500 million to establish Beazley Bermuda Holdings Limited, Beazley Bermuda Insurance Limited and Beazley Bermuda Services Ltd, a move the company says will support growth while preserving underwriting margins. </w:t>
      </w:r>
      <w:hyperlink r:id="rId9">
        <w:r>
          <w:rPr>
            <w:color w:val="0000EE"/>
            <w:u w:val="single"/>
          </w:rPr>
          <w:t>[1]</w:t>
        </w:r>
      </w:hyperlink>
      <w:hyperlink r:id="rId9">
        <w:r>
          <w:rPr>
            <w:color w:val="0000EE"/>
            <w:u w:val="single"/>
          </w:rPr>
          <w:t>[2]</w:t>
        </w:r>
      </w:hyperlink>
      <w:r/>
    </w:p>
    <w:p>
      <w:r/>
      <w:r>
        <w:t xml:space="preserve">The firm reported insurance written premiums of $4.67 billion for the nine months to September 2025, up 1% from $4.625 billion a year earlier, with net insurance written premiums rising 4% to $3.927 billion. Property and specialty risk books grew modestly , property up 2% to $1.436 billion and specialty up 3% to $1.437 billion , while digital and cyber lines saw declines, with cyber down 8% to $848 million. Beazley said overall year‑to‑date rates were 4% lower than the prior period. </w:t>
      </w:r>
      <w:hyperlink r:id="rId9">
        <w:r>
          <w:rPr>
            <w:color w:val="0000EE"/>
            <w:u w:val="single"/>
          </w:rPr>
          <w:t>[1]</w:t>
        </w:r>
      </w:hyperlink>
      <w:hyperlink r:id="rId9">
        <w:r>
          <w:rPr>
            <w:color w:val="0000EE"/>
            <w:u w:val="single"/>
          </w:rPr>
          <w:t>[2]</w:t>
        </w:r>
      </w:hyperlink>
      <w:r/>
    </w:p>
    <w:p>
      <w:r/>
      <w:r>
        <w:t xml:space="preserve">Beazley emphasised that natural catastrophe claims through the first nine months were within expected margins after a below‑average hurricane season, and that attritional claims which looked benign in the first half "returned to a more normalised level" in the third quarter. The company reported insurance finance income and expense of $169 million and an investment portfolio return of $458 million (3.9%) for the period, versus $314 million (2.7%) a year earlier. </w:t>
      </w:r>
      <w:hyperlink r:id="rId9">
        <w:r>
          <w:rPr>
            <w:color w:val="0000EE"/>
            <w:u w:val="single"/>
          </w:rPr>
          <w:t>[1]</w:t>
        </w:r>
      </w:hyperlink>
      <w:r/>
    </w:p>
    <w:p>
      <w:r/>
      <w:r>
        <w:t xml:space="preserve">Adrian Cox, Beazley’s chief executive, framed the Bermuda initiative within a continued focus on discipline over volume: "Market conditions are evolving at pace across several of our lines and we’ve maintained the same disciplined approach we set out at the half year. The benefit of this discipline is clear in our upgraded combined ratio guidance, as we continue to prioritise profitability over volume. This does, however, mean that growth is running at the low end of our guidance and below the level we delivered in the first half." The company said the Bermuda platform will allow it to "drive growth whilst maintaining margin". </w:t>
      </w:r>
      <w:hyperlink r:id="rId9">
        <w:r>
          <w:rPr>
            <w:color w:val="0000EE"/>
            <w:u w:val="single"/>
          </w:rPr>
          <w:t>[1]</w:t>
        </w:r>
      </w:hyperlink>
      <w:r/>
    </w:p>
    <w:p>
      <w:r/>
      <w:r>
        <w:t xml:space="preserve">Beazley has set explicit medium‑term targets for the new operation. In company presentations and commentary to industry outlets the insurer described ambitions for the Bermuda business to write roughly $400 million of premium by 2030, with around $200 million of that expected to come from captives and ILS (alternative risk transfer). The company said captives and ART are core to the project and that the platform will also offer property reinsurance, specialty reinsurance and other specialty insurance. Industry data shows Beazley describes captives as "a growing and attractive" long‑term opportunity. </w:t>
      </w:r>
      <w:hyperlink r:id="rId10">
        <w:r>
          <w:rPr>
            <w:color w:val="0000EE"/>
            <w:u w:val="single"/>
          </w:rPr>
          <w:t>[3]</w:t>
        </w:r>
      </w:hyperlink>
      <w:hyperlink r:id="rId11">
        <w:r>
          <w:rPr>
            <w:color w:val="0000EE"/>
            <w:u w:val="single"/>
          </w:rPr>
          <w:t>[4]</w:t>
        </w:r>
      </w:hyperlink>
      <w:hyperlink r:id="rId12">
        <w:r>
          <w:rPr>
            <w:color w:val="0000EE"/>
            <w:u w:val="single"/>
          </w:rPr>
          <w:t>[7]</w:t>
        </w:r>
      </w:hyperlink>
      <w:r/>
    </w:p>
    <w:p>
      <w:r/>
      <w:r>
        <w:t xml:space="preserve">The Bermuda rollout will be staged, Beazley said, starting with familiar product lines and expanding across ART, specialty re/insurance and property reinsurance. Paul Bantick, Group CUO at Beazley, told Artemis that "Entering Bermuda is something we’ve discussed for many years as a natural extension of our specialty expertise. We’ll be operational from early 2026 and expect growth to scale at pace. Our approach will be a staggered product rollout – starting with what we know best and expanding across ART, specialty re/insurance, and property reinsurance – setting us on a fast growth trajectory through 2026 and beyond." The company explicitly defined ART to include "ILS, structured reinsurance, captives." </w:t>
      </w:r>
      <w:hyperlink r:id="rId9">
        <w:r>
          <w:rPr>
            <w:color w:val="0000EE"/>
            <w:u w:val="single"/>
          </w:rPr>
          <w:t>[1]</w:t>
        </w:r>
      </w:hyperlink>
      <w:hyperlink r:id="rId13">
        <w:r>
          <w:rPr>
            <w:color w:val="0000EE"/>
            <w:u w:val="single"/>
          </w:rPr>
          <w:t>[6]</w:t>
        </w:r>
      </w:hyperlink>
      <w:r/>
    </w:p>
    <w:p>
      <w:r/>
      <w:r>
        <w:t xml:space="preserve">Beazley is also said to be partnering with an established ILS manager to support a cyber‑focused ILS fund strategy, with Beazley providing underwriting expertise and likely capital to the vehicle. According to Artemis, the insurer hopes the Bermuda operations will be up and running in the first quarter of 2026, and the cyber ILS initiative reflects both an opportunity and a market evolution to meet growing cyber reinsurance demand. The company’s statements framed the move as addressing gaps in its existing footprint by building dedicated teams in fast‑growing ART and captive markets. </w:t>
      </w:r>
      <w:hyperlink r:id="rId13">
        <w:r>
          <w:rPr>
            <w:color w:val="0000EE"/>
            <w:u w:val="single"/>
          </w:rPr>
          <w:t>[6]</w:t>
        </w:r>
      </w:hyperlink>
      <w:hyperlink r:id="rId10">
        <w:r>
          <w:rPr>
            <w:color w:val="0000EE"/>
            <w:u w:val="single"/>
          </w:rPr>
          <w:t>[3]</w:t>
        </w:r>
      </w:hyperlink>
      <w:r/>
    </w:p>
    <w:p>
      <w:r/>
      <w:r>
        <w:t xml:space="preserve">The Bermuda announcement comes on the back of a strong corporate performance in 2024 and earlier in 2025. The company reported a pretax profit of $1.42 billion for 2024 , a 13% increase year‑on‑year , and earlier in 2025 disclosed a $500 million share buyback; that round of results helped push Beazley’s shares to record levels. Reuters reported that Beazley’s estimate of its insured loss from the Los Angeles wildfires was about $80 million, notably lower than some peers’ estimates, and CEO Cox acknowledged the broader underwriting pressures associated with climate change. </w:t>
      </w:r>
      <w:hyperlink r:id="rId14">
        <w:r>
          <w:rPr>
            <w:color w:val="0000EE"/>
            <w:u w:val="single"/>
          </w:rPr>
          <w:t>[5]</w:t>
        </w:r>
      </w:hyperlink>
      <w:hyperlink r:id="rId9">
        <w:r>
          <w:rPr>
            <w:color w:val="0000EE"/>
            <w:u w:val="single"/>
          </w:rPr>
          <w:t>[2]</w:t>
        </w:r>
      </w:hyperlink>
      <w:r/>
    </w:p>
    <w:p>
      <w:r/>
      <w:r>
        <w:t xml:space="preserve">Regulatory approval remains required for the Bermuda entities and Beazley’s stated targets are company projections. The firm claims the new platform will allow it to scale revenue from captives and ILS to roughly $200 million by 2030 and to reach about $400 million of Bermuda‑written premium in total by that date, but industry observers will watch execution, partner arrangements and the evolving reinsurance pricing cycle before judging the venture’s ultimate contribution to group profits. </w:t>
      </w:r>
      <w:hyperlink r:id="rId11">
        <w:r>
          <w:rPr>
            <w:color w:val="0000EE"/>
            <w:u w:val="single"/>
          </w:rPr>
          <w:t>[4]</w:t>
        </w:r>
      </w:hyperlink>
      <w:hyperlink r:id="rId10">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(Reinsurance News) - Paragraph 1, Paragraph 2, Paragraph 3, Paragraph 4, Paragraph 6, Paragraph 8 </w:t>
      </w:r>
      <w:r/>
    </w:p>
    <w:p>
      <w:pPr>
        <w:pStyle w:val="ListBullet"/>
        <w:spacing w:line="240" w:lineRule="auto"/>
        <w:ind w:left="720"/>
      </w:pPr>
      <w:r/>
      <w:hyperlink r:id="rId9">
        <w:r>
          <w:rPr>
            <w:color w:val="0000EE"/>
            <w:u w:val="single"/>
          </w:rPr>
          <w:t>[2]</w:t>
        </w:r>
      </w:hyperlink>
      <w:r>
        <w:t xml:space="preserve"> (Reinsurance News summary) - Paragraph 1, Paragraph 2, Paragraph 7 </w:t>
      </w:r>
      <w:r/>
    </w:p>
    <w:p>
      <w:pPr>
        <w:pStyle w:val="ListBullet"/>
        <w:spacing w:line="240" w:lineRule="auto"/>
        <w:ind w:left="720"/>
      </w:pPr>
      <w:r/>
      <w:hyperlink r:id="rId10">
        <w:r>
          <w:rPr>
            <w:color w:val="0000EE"/>
            <w:u w:val="single"/>
          </w:rPr>
          <w:t>[3]</w:t>
        </w:r>
      </w:hyperlink>
      <w:r>
        <w:t xml:space="preserve"> (Royal Gazette) - Paragraph 5, Paragraph 8 </w:t>
      </w:r>
      <w:r/>
    </w:p>
    <w:p>
      <w:pPr>
        <w:pStyle w:val="ListBullet"/>
        <w:spacing w:line="240" w:lineRule="auto"/>
        <w:ind w:left="720"/>
      </w:pPr>
      <w:r/>
      <w:hyperlink r:id="rId11">
        <w:r>
          <w:rPr>
            <w:color w:val="0000EE"/>
            <w:u w:val="single"/>
          </w:rPr>
          <w:t>[4]</w:t>
        </w:r>
      </w:hyperlink>
      <w:r>
        <w:t xml:space="preserve"> (Captive Review) - Paragraph 5, Paragraph 8 </w:t>
      </w:r>
      <w:r/>
    </w:p>
    <w:p>
      <w:pPr>
        <w:pStyle w:val="ListBullet"/>
        <w:spacing w:line="240" w:lineRule="auto"/>
        <w:ind w:left="720"/>
      </w:pPr>
      <w:r/>
      <w:hyperlink r:id="rId14">
        <w:r>
          <w:rPr>
            <w:color w:val="0000EE"/>
            <w:u w:val="single"/>
          </w:rPr>
          <w:t>[5]</w:t>
        </w:r>
      </w:hyperlink>
      <w:r>
        <w:t xml:space="preserve"> (Reuters) - Paragraph 7 </w:t>
      </w:r>
      <w:r/>
    </w:p>
    <w:p>
      <w:pPr>
        <w:pStyle w:val="ListBullet"/>
        <w:spacing w:line="240" w:lineRule="auto"/>
        <w:ind w:left="720"/>
      </w:pPr>
      <w:r/>
      <w:hyperlink r:id="rId13">
        <w:r>
          <w:rPr>
            <w:color w:val="0000EE"/>
            <w:u w:val="single"/>
          </w:rPr>
          <w:t>[6]</w:t>
        </w:r>
      </w:hyperlink>
      <w:r>
        <w:t xml:space="preserve"> (Artemis)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https://www.reinsurancene.ws/beazley-reveals-new-bermuda-platform-as-9m25-premiums-rise/</w:t>
        </w:r>
      </w:hyperlink>
      <w:r>
        <w:t xml:space="preserve"> - Please view link - unable to able to access data</w:t>
      </w:r>
      <w:r/>
    </w:p>
    <w:p>
      <w:pPr>
        <w:pStyle w:val="ListNumber"/>
        <w:spacing w:line="240" w:lineRule="auto"/>
        <w:ind w:left="720"/>
      </w:pPr>
      <w:r/>
      <w:hyperlink r:id="rId9">
        <w:r>
          <w:rPr>
            <w:color w:val="0000EE"/>
            <w:u w:val="single"/>
          </w:rPr>
          <w:t>https://www.reinsurancene.ws/beazley-reveals-new-bermuda-platform-as-9m25-premiums-rise/</w:t>
        </w:r>
      </w:hyperlink>
      <w:r>
        <w:t xml:space="preserve"> - Beazley, a specialist insurer headquartered in London, has announced a new Bermuda platform to support growth from 2026. The company plans to invest $500 million in this venture, establishing Beazley Bermuda Holdings Limited, Beazley Bermuda Insurance Limited, and Beazley Bermuda Services Ltd. In the first nine months of 2025, Beazley reported insurance written premiums of $4.67 billion, a 1% increase from the previous year. The company also experienced a 4% year-on-year rise in net insurance written premiums, reaching $3.927 billion. Premiums in property risks increased by 2% to $1.436 billion, while specialty risks saw a 3% rise to $1.437 million. However, digital premiums decreased by 2% to $186 million, and cyber risk premiums fell by 8% to $848 million. Overall, Beazley experienced a 4% year-to-date rate decrease in 9M’25 compared to the prior year period. The company also reported a profit before tax of $1.42 billion for 2024, a 13% increase from the previous year, and announced a $500 million share buyback. CEO Adrian Cox acknowledged the challenges posed by climate change on underwriting practices and estimated the impact of the Los Angeles wildfires at $80 million, significantly lower than some peers' estimates. Beazley's shares reached a record high following the profit announcement and share buyback news.</w:t>
      </w:r>
      <w:r/>
    </w:p>
    <w:p>
      <w:pPr>
        <w:pStyle w:val="ListNumber"/>
        <w:spacing w:line="240" w:lineRule="auto"/>
        <w:ind w:left="720"/>
      </w:pPr>
      <w:r/>
      <w:hyperlink r:id="rId10">
        <w:r>
          <w:rPr>
            <w:color w:val="0000EE"/>
            <w:u w:val="single"/>
          </w:rPr>
          <w:t>https://www.royalgazette.com/reinsurance/business/article/20251126/beazley-to-set-up-500m-bermuda-office/</w:t>
        </w:r>
      </w:hyperlink>
      <w:r>
        <w:t xml:space="preserve"> - Beazley, the London-based specialist insurer, has announced plans to establish a new office in Bermuda, with an investment of $500 million, pending regulatory approval. The company expects this venture to generate $400 million in premiums by 2030, with half of it coming from alternative risk transfer. CEO Adrian Cox stated that the Bermudian-based business will consist of captives, alternative risk transfer, including parametrics, insurance-linked-securities, cyber insurance, and specialty insurance and reinsurance. He emphasized that captives and ART are fast-growing markets in which Beazley participates but does not have teams focused on them, and Bermuda will allow the firm to address this gap.</w:t>
      </w:r>
      <w:r/>
    </w:p>
    <w:p>
      <w:pPr>
        <w:pStyle w:val="ListNumber"/>
        <w:spacing w:line="240" w:lineRule="auto"/>
        <w:ind w:left="720"/>
      </w:pPr>
      <w:r/>
      <w:hyperlink r:id="rId11">
        <w:r>
          <w:rPr>
            <w:color w:val="0000EE"/>
            <w:u w:val="single"/>
          </w:rPr>
          <w:t>https://www.captivereview.com/news/beazleys-new-bermuda-platform-targets-200m-of-captive-and-ils-premium-by-2030/</w:t>
        </w:r>
      </w:hyperlink>
      <w:r>
        <w:t xml:space="preserve"> - Beazley is investing $500 million to build out a Bermuda platform, targeting captive and insurance-linked securities (ILS) premium volume of $200 million by 2030. The platform will also offer property reinsurance, specialty reinsurance, and other specialty insurance. Beazley anticipates the entire Bermuda platform will be writing around $400 million in premium by 2030, making the alternative risk transfer offering of captives and ILS core to the project. In its Capital Markets Day presentation, captives were described as 'a growing and attractive' opportunity for Beazley, offering 'long term growth opportunities.'</w:t>
      </w:r>
      <w:r/>
    </w:p>
    <w:p>
      <w:pPr>
        <w:pStyle w:val="ListNumber"/>
        <w:spacing w:line="240" w:lineRule="auto"/>
        <w:ind w:left="720"/>
      </w:pPr>
      <w:r/>
      <w:hyperlink r:id="rId14">
        <w:r>
          <w:rPr>
            <w:color w:val="0000EE"/>
            <w:u w:val="single"/>
          </w:rPr>
          <w:t>https://www.reuters.com/business/finance/beazleys-shares-hit-record-after-insurers-profit-beat-limited-la-wildfire-losses-2025-03-04/</w:t>
        </w:r>
      </w:hyperlink>
      <w:r>
        <w:t xml:space="preserve"> - Beazley, a British insurer under Lloyd's of London, saw its shares reach a record high after reporting a stronger-than-expected annual pretax profit and announcing a $500 million share buyback. The firm also estimated relatively minimal losses—$80 million—from the destructive Los Angeles wildfires, significantly lower than peers such as Lancashire, which anticipated up to $165 million in damages. Despite widespread challenges in the insurance sector, including U.S. hurricanes and escalating wildfire risks driven by climate change, Beazley posted a $1.42 billion pretax profit for 2024, a 13% year-over-year increase and 9% above analyst expectations. CEO Adrian Cox acknowledged growing climate-related pressures on underwriting practices. Analysts estimate total insured losses from the LA wildfires could reach $20 billion, potentially California's most costly disaster. While insurers have benefited from increased premiums post-pandemic and during other global crises, premium rates began declining in late 2024 and are expected to decrease slightly in 2025. Beazley’s strong performance amid these conditions led its shares to rise 3.2%, hitting a peak of 923 pence.</w:t>
      </w:r>
      <w:r/>
    </w:p>
    <w:p>
      <w:pPr>
        <w:pStyle w:val="ListNumber"/>
        <w:spacing w:line="240" w:lineRule="auto"/>
        <w:ind w:left="720"/>
      </w:pPr>
      <w:r/>
      <w:hyperlink r:id="rId13">
        <w:r>
          <w:rPr>
            <w:color w:val="0000EE"/>
            <w:u w:val="single"/>
          </w:rPr>
          <w:t>https://www.artemis.bm/news/beazley-partnering-with-established-ils-player-on-bermuda-cyber-ils-fund-ceo-cox/</w:t>
        </w:r>
      </w:hyperlink>
      <w:r>
        <w:t xml:space="preserve"> - Beazley has deployed $500 million of capital to establish and launch a new Bermuda platform. The new Bermuda branch that Beazley is launching will have a cyber insurance-linked securities focus, including a plan to launch a cyber ILS fund strategy. Beazley's role within this cyber ILS joint-venture will be in bringing its underwriting expertise to the new cyber ILS fund strategy, as well as likely making an investment in the fund. The ILS investment management expertise will come from an established and as yet unnamed player. On the new Bermuda operations, CEO Adrian Cox explained that the hope is to have it up and running in the first quarter of 2026. The insurance-linked securities opportunity in cyber risk is seen as an opportunity for Beazley, but also a necessary evolution of the market to respond to the growing need for cyber reinsurance capacity.</w:t>
      </w:r>
      <w:r/>
    </w:p>
    <w:p>
      <w:pPr>
        <w:pStyle w:val="ListNumber"/>
        <w:spacing w:line="240" w:lineRule="auto"/>
        <w:ind w:left="720"/>
      </w:pPr>
      <w:r/>
      <w:hyperlink r:id="rId12">
        <w:r>
          <w:rPr>
            <w:color w:val="0000EE"/>
            <w:u w:val="single"/>
          </w:rPr>
          <w:t>https://www.captiveinternational.com/new-beazley-bermuda-platform-sets-dollar200m-target</w:t>
        </w:r>
      </w:hyperlink>
      <w:r>
        <w:t xml:space="preserve"> - Beazley is targeting captive and ILS premium volume of $200 million by 2030 within its new Bermuda platform. The London market carrier has announced plans to invest $500 million to build out the Bermuda platform from 2026 onwards, subject to regulatory approval. As well as captive and ILS services, the platform will also offer property reinsurance, specialty reinsurance, and other specialty insurance. Beazley anticipates the entire Bermuda platform will be writing around $400 million in premium by 2030, making the alternative risk transfer offering of captives and ILS core to the project. In its Capital Markets Day presentation, captives were described as 'a growing and attractive' opportunity for Beazley, offering 'long term growth opportunities.'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insurancene.ws/beazley-reveals-new-bermuda-platform-as-9m25-premiums-rise/" TargetMode="External"/><Relationship Id="rId10" Type="http://schemas.openxmlformats.org/officeDocument/2006/relationships/hyperlink" Target="https://www.royalgazette.com/reinsurance/business/article/20251126/beazley-to-set-up-500m-bermuda-office/" TargetMode="External"/><Relationship Id="rId11" Type="http://schemas.openxmlformats.org/officeDocument/2006/relationships/hyperlink" Target="https://www.captivereview.com/news/beazleys-new-bermuda-platform-targets-200m-of-captive-and-ils-premium-by-2030/" TargetMode="External"/><Relationship Id="rId12" Type="http://schemas.openxmlformats.org/officeDocument/2006/relationships/hyperlink" Target="https://www.captiveinternational.com/new-beazley-bermuda-platform-sets-dollar200m-target" TargetMode="External"/><Relationship Id="rId13" Type="http://schemas.openxmlformats.org/officeDocument/2006/relationships/hyperlink" Target="https://www.artemis.bm/news/beazley-partnering-with-established-ils-player-on-bermuda-cyber-ils-fund-ceo-cox/" TargetMode="External"/><Relationship Id="rId14" Type="http://schemas.openxmlformats.org/officeDocument/2006/relationships/hyperlink" Target="https://www.reuters.com/business/finance/beazleys-shares-hit-record-after-insurers-profit-beat-limited-la-wildfire-losses-2025-03-04/"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