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Brookfield aims to become a global leader in property and casualty insurance with ambitious growth plans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Brookfield Corp. is moving to scale its property and casualty (P/C) insurance operations, targeting segments where it believes it holds a distinctive competitive edge and where competition from private-equity players has been limited. According to the original report, Chief Executive Officer Bruce Flatt told delegates at the Goldman Sachs Financial Services Conference that the firm is seeking “a relatively low-risk” area of property and casualty insurance “where we can become globally dominant and create float to invest into our strategies.” </w:t>
      </w:r>
      <w:hyperlink r:id="rId9">
        <w:r>
          <w:rPr>
            <w:color w:val="0000EE"/>
            <w:u w:val="single"/>
          </w:rPr>
          <w:t>[1]</w:t>
        </w:r>
      </w:hyperlink>
      <w:hyperlink r:id="rId9">
        <w:r>
          <w:rPr>
            <w:color w:val="0000EE"/>
            <w:u w:val="single"/>
          </w:rPr>
          <w:t>[2]</w:t>
        </w:r>
      </w:hyperlink>
      <w:r/>
    </w:p>
    <w:p>
      <w:r/>
      <w:r>
        <w:t xml:space="preserve">The company’s stated focus is tactical: underwriting risks closely tied to Brookfield’s core real-asset expertise, including real estate construction, industrial warehouses and renewable power facilities. Flatt said these are areas “where we have something special,” an approach designed to generate insurance float that can be redeployed into the firm’s higher-earning equity strategies. The company’s annuity operations remain its largest insurance franchise, but P/C is a deliberate growth priority. Industry reporting shows P/C equity was modest as of mid-year, and Brookfield has set ambitious long-term targets to expand that base dramatically. </w:t>
      </w:r>
      <w:hyperlink r:id="rId9">
        <w:r>
          <w:rPr>
            <w:color w:val="0000EE"/>
            <w:u w:val="single"/>
          </w:rPr>
          <w:t>[1]</w:t>
        </w:r>
      </w:hyperlink>
      <w:hyperlink r:id="rId9">
        <w:r>
          <w:rPr>
            <w:color w:val="0000EE"/>
            <w:u w:val="single"/>
          </w:rPr>
          <w:t>[2]</w:t>
        </w:r>
      </w:hyperlink>
      <w:hyperlink r:id="rId10">
        <w:r>
          <w:rPr>
            <w:color w:val="0000EE"/>
            <w:u w:val="single"/>
          </w:rPr>
          <w:t>[5]</w:t>
        </w:r>
      </w:hyperlink>
      <w:r/>
    </w:p>
    <w:p>
      <w:r/>
      <w:r>
        <w:t xml:space="preserve">Brookfield’s current P/C equity base was reported at about $3.5 billion as of the second quarter, and management has publicly outlined an aspiration to grow that to between $30 billion and $50 billion over time by writing policies for the targeted real-asset sectors. Earlier company commentary and filings have suggested even larger, multi-decade ambitions for the P/C book in some internal scenarios, reflecting the group’s long-term view of insurance as a strategic source of capital. According to the announcement, the P/C expansion complements Brookfield’s large annuity franchise and its broader move to an investment-led insurer model. </w:t>
      </w:r>
      <w:hyperlink r:id="rId9">
        <w:r>
          <w:rPr>
            <w:color w:val="0000EE"/>
            <w:u w:val="single"/>
          </w:rPr>
          <w:t>[1]</w:t>
        </w:r>
      </w:hyperlink>
      <w:hyperlink r:id="rId10">
        <w:r>
          <w:rPr>
            <w:color w:val="0000EE"/>
            <w:u w:val="single"/>
          </w:rPr>
          <w:t>[5]</w:t>
        </w:r>
      </w:hyperlink>
      <w:r/>
    </w:p>
    <w:p>
      <w:r/>
      <w:r>
        <w:t xml:space="preserve">The P/C push follows an active programme of insurance-sector acquisitions and portfolio building. In recent years Brookfield Reinsurance completed several material deals that materially enlarged its insurance balance sheet and capabilities: the takeover of American Equity Life (AEL) to scale annuities, the acquisition of US specialty insurer Argo Group, and the purchase of Texas-headquartered American National Group. Those transactions have added significant insurance assets and distribution reach across life, annuity and P/C lines, and senior executives have framed them as foundational to the group’s strategy. The company said these deals expanded its assets and positioned Brookfield as a major North American annuity and reinsurance operator. </w:t>
      </w:r>
      <w:hyperlink r:id="rId11">
        <w:r>
          <w:rPr>
            <w:color w:val="0000EE"/>
            <w:u w:val="single"/>
          </w:rPr>
          <w:t>[3]</w:t>
        </w:r>
      </w:hyperlink>
      <w:hyperlink r:id="rId12">
        <w:r>
          <w:rPr>
            <w:color w:val="0000EE"/>
            <w:u w:val="single"/>
          </w:rPr>
          <w:t>[4]</w:t>
        </w:r>
      </w:hyperlink>
      <w:hyperlink r:id="rId13">
        <w:r>
          <w:rPr>
            <w:color w:val="0000EE"/>
            <w:u w:val="single"/>
          </w:rPr>
          <w:t>[6]</w:t>
        </w:r>
      </w:hyperlink>
      <w:hyperlink r:id="rId14">
        <w:r>
          <w:rPr>
            <w:color w:val="0000EE"/>
            <w:u w:val="single"/>
          </w:rPr>
          <w:t>[7]</w:t>
        </w:r>
      </w:hyperlink>
      <w:r/>
    </w:p>
    <w:p>
      <w:r/>
      <w:r>
        <w:t xml:space="preserve">While the acquisitions provide scale, Brookfield’s public statements maintain editorial distance: the company describes these moves as strategic investments to create long-term float and customer relationships, rather than standalone guarantees of future returns. Ratings and market observers note that some acquired businesses carry established balance sheets and insurance ratings, which Brookfield’s management says will support its underwriting expansion. At the same time, industry data and the company’s own reporting show the group is still integrating varied operations across jurisdictions, including recent moves into the UK and Japan reinsurance markets. </w:t>
      </w:r>
      <w:hyperlink r:id="rId11">
        <w:r>
          <w:rPr>
            <w:color w:val="0000EE"/>
            <w:u w:val="single"/>
          </w:rPr>
          <w:t>[3]</w:t>
        </w:r>
      </w:hyperlink>
      <w:hyperlink r:id="rId12">
        <w:r>
          <w:rPr>
            <w:color w:val="0000EE"/>
            <w:u w:val="single"/>
          </w:rPr>
          <w:t>[4]</w:t>
        </w:r>
      </w:hyperlink>
      <w:hyperlink r:id="rId14">
        <w:r>
          <w:rPr>
            <w:color w:val="0000EE"/>
            <w:u w:val="single"/>
          </w:rPr>
          <w:t>[7]</w:t>
        </w:r>
      </w:hyperlink>
      <w:r/>
    </w:p>
    <w:p>
      <w:r/>
      <w:r>
        <w:t xml:space="preserve">Risk and capital management will be central to whether Brookfield can convert ambition into durable P/C market share. The firm has emphasised writing into lower-volatility, construction- and asset-linked risks where underwriting can be informed by Brookfield’s operating knowledge of real assets. Government and market observers point out that insurance is capital intensive and cyclical; Brookfield’s plan to grow P/C equity by multiples will require sustained premium flows, conservative reserving and the successful conversion of investment returns on the float. Brookfield’s executives have signalled confidence that falling interest rates in the United States will accelerate asset monetisations and create attractive deployment opportunities for capital freed by those transactions. </w:t>
      </w:r>
      <w:hyperlink r:id="rId9">
        <w:r>
          <w:rPr>
            <w:color w:val="0000EE"/>
            <w:u w:val="single"/>
          </w:rPr>
          <w:t>[1]</w:t>
        </w:r>
      </w:hyperlink>
      <w:hyperlink r:id="rId10">
        <w:r>
          <w:rPr>
            <w:color w:val="0000EE"/>
            <w:u w:val="single"/>
          </w:rPr>
          <w:t>[5]</w:t>
        </w:r>
      </w:hyperlink>
      <w:r/>
    </w:p>
    <w:p>
      <w:r/>
      <w:r>
        <w:t xml:space="preserve">If executed, the strategy would further shift Brookfield’s balance-sheet mix toward insurance-derived capital: the corporation’s public filings and annual reports show insurance assets have already grown substantially since 2023, boosted by the AEL transaction and expanded annuity origination. Management has described insurance float as a long-duration, investable source of capital that complements its wider real-asset and equity strategies; critics and competitors will watch underwriting discipline and integration execution as the company scales its P/C ambitions. </w:t>
      </w:r>
      <w:hyperlink r:id="rId13">
        <w:r>
          <w:rPr>
            <w:color w:val="0000EE"/>
            <w:u w:val="single"/>
          </w:rPr>
          <w:t>[6]</w:t>
        </w:r>
      </w:hyperlink>
      <w:hyperlink r:id="rId14">
        <w:r>
          <w:rPr>
            <w:color w:val="0000EE"/>
            <w:u w:val="single"/>
          </w:rPr>
          <w:t>[7]</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(Insurance Journal/Bloomberg) - Paragraph 1, Paragraph 2, Paragraph 3, Paragraph 6 </w:t>
      </w:r>
      <w:r/>
    </w:p>
    <w:p>
      <w:pPr>
        <w:pStyle w:val="ListBullet"/>
        <w:spacing w:line="240" w:lineRule="auto"/>
        <w:ind w:left="720"/>
      </w:pPr>
      <w:r/>
      <w:hyperlink r:id="rId9">
        <w:r>
          <w:rPr>
            <w:color w:val="0000EE"/>
            <w:u w:val="single"/>
          </w:rPr>
          <w:t>[2]</w:t>
        </w:r>
      </w:hyperlink>
      <w:r>
        <w:t xml:space="preserve"> (Insurance Journal) - Paragraph 1, Paragraph 2 </w:t>
      </w:r>
      <w:r/>
    </w:p>
    <w:p>
      <w:pPr>
        <w:pStyle w:val="ListBullet"/>
        <w:spacing w:line="240" w:lineRule="auto"/>
        <w:ind w:left="720"/>
      </w:pPr>
      <w:r/>
      <w:hyperlink r:id="rId11">
        <w:r>
          <w:rPr>
            <w:color w:val="0000EE"/>
            <w:u w:val="single"/>
          </w:rPr>
          <w:t>[3]</w:t>
        </w:r>
      </w:hyperlink>
      <w:r>
        <w:t xml:space="preserve"> (BusinessWire) - Paragraph 4, Paragraph 5 </w:t>
      </w:r>
      <w:r/>
    </w:p>
    <w:p>
      <w:pPr>
        <w:pStyle w:val="ListBullet"/>
        <w:spacing w:line="240" w:lineRule="auto"/>
        <w:ind w:left="720"/>
      </w:pPr>
      <w:r/>
      <w:hyperlink r:id="rId12">
        <w:r>
          <w:rPr>
            <w:color w:val="0000EE"/>
            <w:u w:val="single"/>
          </w:rPr>
          <w:t>[4]</w:t>
        </w:r>
      </w:hyperlink>
      <w:r>
        <w:t xml:space="preserve"> (InsuranceBusinessMag) - Paragraph 4, Paragraph 5 </w:t>
      </w:r>
      <w:r/>
    </w:p>
    <w:p>
      <w:pPr>
        <w:pStyle w:val="ListBullet"/>
        <w:spacing w:line="240" w:lineRule="auto"/>
        <w:ind w:left="720"/>
      </w:pPr>
      <w:r/>
      <w:hyperlink r:id="rId10">
        <w:r>
          <w:rPr>
            <w:color w:val="0000EE"/>
            <w:u w:val="single"/>
          </w:rPr>
          <w:t>[5]</w:t>
        </w:r>
      </w:hyperlink>
      <w:r>
        <w:t xml:space="preserve"> (Insurance Journal) - Paragraph 3, Paragraph 6 </w:t>
      </w:r>
      <w:r/>
    </w:p>
    <w:p>
      <w:pPr>
        <w:pStyle w:val="ListBullet"/>
        <w:spacing w:line="240" w:lineRule="auto"/>
        <w:ind w:left="720"/>
      </w:pPr>
      <w:r/>
      <w:hyperlink r:id="rId13">
        <w:r>
          <w:rPr>
            <w:color w:val="0000EE"/>
            <w:u w:val="single"/>
          </w:rPr>
          <w:t>[6]</w:t>
        </w:r>
      </w:hyperlink>
      <w:r>
        <w:t xml:space="preserve"> (BusinessWire) - Paragraph 4, Paragraph 7 </w:t>
      </w:r>
      <w:r/>
    </w:p>
    <w:p>
      <w:pPr>
        <w:pStyle w:val="ListBullet"/>
        <w:spacing w:line="240" w:lineRule="auto"/>
        <w:ind w:left="720"/>
      </w:pPr>
      <w:r/>
      <w:hyperlink r:id="rId14">
        <w:r>
          <w:rPr>
            <w:color w:val="0000EE"/>
            <w:u w:val="single"/>
          </w:rPr>
          <w:t>[7]</w:t>
        </w:r>
      </w:hyperlink>
      <w:r>
        <w:t xml:space="preserve"> (Brookfield Annual Report) - Paragraph 4, Paragraph 7</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https://www.insurancejournal.com/news/international/2025/12/10/850466.htm</w:t>
        </w:r>
      </w:hyperlink>
      <w:r>
        <w:t xml:space="preserve"> - Please view link - unable to able to access data</w:t>
      </w:r>
      <w:r/>
    </w:p>
    <w:p>
      <w:pPr>
        <w:pStyle w:val="ListNumber"/>
        <w:spacing w:line="240" w:lineRule="auto"/>
        <w:ind w:left="720"/>
      </w:pPr>
      <w:r/>
      <w:hyperlink r:id="rId9">
        <w:r>
          <w:rPr>
            <w:color w:val="0000EE"/>
            <w:u w:val="single"/>
          </w:rPr>
          <w:t>https://www.insurancejournal.com/news/international/2025/12/10/850466.htm</w:t>
        </w:r>
      </w:hyperlink>
      <w:r>
        <w:t xml:space="preserve"> - Brookfield Corp. plans to expand its property and casualty insurance business, aiming to become globally dominant in areas such as underwriting insurance for real estate construction and warehouses. CEO Bruce Flatt stated that the firm seeks a 'relatively low-risk' segment to create float for its higher-earning equity strategies. While annuities remain Brookfield's largest insurance business, the company intends to grow its property and casualty segment from $3.5 billion to $30-$50 billion by writing policies for real estate construction, industrial warehouses, and renewable power facilities. The firm has been actively expanding its insurance and wealth business, acquiring companies in the US, entering the UK market, and recently expanding into Japan's reinsurance market. Flatt also anticipates increased asset sales in the US as interest rates decline, benefiting both Brookfield and the industry.</w:t>
      </w:r>
      <w:r/>
    </w:p>
    <w:p>
      <w:pPr>
        <w:pStyle w:val="ListNumber"/>
        <w:spacing w:line="240" w:lineRule="auto"/>
        <w:ind w:left="720"/>
      </w:pPr>
      <w:r/>
      <w:hyperlink r:id="rId11">
        <w:r>
          <w:rPr>
            <w:color w:val="0000EE"/>
            <w:u w:val="single"/>
          </w:rPr>
          <w:t>https://www.businesswire.com/news/home/20231115914463/en/Brookfield-Reinsurance-Completes-%241.1-Billion-Acquisition-of-Argo-Group</w:t>
        </w:r>
      </w:hyperlink>
      <w:r>
        <w:t xml:space="preserve"> - Brookfield Reinsurance has completed the acquisition of Argo Group International Holdings in an all-cash transaction valued at approximately $1.1 billion. This acquisition adds a foundational piece to Brookfield Reinsurance's expanding US property and casualty operations, increasing its assets to over $50 billion. Jessica Snyder will serve as the CEO of Argo, succeeding Thomas Bradley, who announced his intention to retire upon closing. Argo offers a full line of specialty insurance products in the property and casualty market and is rated 'A-' by Standard and Poor’s and A.M. Best.</w:t>
      </w:r>
      <w:r/>
    </w:p>
    <w:p>
      <w:pPr>
        <w:pStyle w:val="ListNumber"/>
        <w:spacing w:line="240" w:lineRule="auto"/>
        <w:ind w:left="720"/>
      </w:pPr>
      <w:r/>
      <w:hyperlink r:id="rId12">
        <w:r>
          <w:rPr>
            <w:color w:val="0000EE"/>
            <w:u w:val="single"/>
          </w:rPr>
          <w:t>https://www.insurancebusinessmag.com/us/news/mergers-acquisitions/brookfield-reinsurance-completes-5.1-billion-purchase-of-american-national-group-407317.aspx</w:t>
        </w:r>
      </w:hyperlink>
      <w:r>
        <w:t xml:space="preserve"> - Brookfield Asset Management Reinsurance Partners (Brookfield Reinsurance) has completed its $5.1 billion acquisition of Texas-headquartered insurer American National Group. American National operates in all 50 states and Puerto Rico, offering life, health, and property and casualty insurance and annuities. As part of the agreement, Brookfield Reinsurance acquired American National's issued and outstanding shares for $190 per share. American National will maintain its headquarters in Galveston, Texas, and its presence in League City, Texas, with operating hubs in Springfield, Missouri, and Albany, New York.</w:t>
      </w:r>
      <w:r/>
    </w:p>
    <w:p>
      <w:pPr>
        <w:pStyle w:val="ListNumber"/>
        <w:spacing w:line="240" w:lineRule="auto"/>
        <w:ind w:left="720"/>
      </w:pPr>
      <w:r/>
      <w:hyperlink r:id="rId10">
        <w:r>
          <w:rPr>
            <w:color w:val="0000EE"/>
            <w:u w:val="single"/>
          </w:rPr>
          <w:t>https://www.insurancejournal.com/news/international/2025/08/07/834887.htm</w:t>
        </w:r>
      </w:hyperlink>
      <w:r>
        <w:t xml:space="preserve"> - Brookfield Corp. is refocusing itself into an investment-led insurer, marking a shift from its previous strategy of investing in real assets alongside clients. CEO Bruce Flatt stated that the firm is now focusing its balance sheet to support its growing insurance operations, with capital increasingly coming from individual investors via its insurance float. The company plans to allocate further equity capital to its annuity business, aiming to grow the book to as much as $750 billion over time. Additionally, Brookfield intends to grow its property and casualty insurance business to between $100 billion and $150 billion by writing policies for real estate construction, industrial warehouses, and renewable power facilities.</w:t>
      </w:r>
      <w:r/>
    </w:p>
    <w:p>
      <w:pPr>
        <w:pStyle w:val="ListNumber"/>
        <w:spacing w:line="240" w:lineRule="auto"/>
        <w:ind w:left="720"/>
      </w:pPr>
      <w:r/>
      <w:hyperlink r:id="rId13">
        <w:r>
          <w:rPr>
            <w:color w:val="0000EE"/>
            <w:u w:val="single"/>
          </w:rPr>
          <w:t>https://www.businesswire.com/news/home/20230704668892/en/Brookfield-Reinsurance-to-Acquire-AEL-in-%244.3-Billion-Transaction</w:t>
        </w:r>
      </w:hyperlink>
      <w:r>
        <w:t xml:space="preserve"> - Brookfield Reinsurance has announced a $4.3 billion transaction to acquire American Equity Life (AEL), a leading fixed annuity business. This acquisition is expected to increase Brookfield Reinsurance's insurance assets to over $100 billion, positioning it as a major North American annuity provider. CEO Sachin Shah stated that the transaction represents an important step in the continued growth of the insurance business, further diversifying and scaling its capabilities. The acquisition is expected to close shortly and contribute over $50 billion of incremental insurance assets.</w:t>
      </w:r>
      <w:r/>
    </w:p>
    <w:p>
      <w:pPr>
        <w:pStyle w:val="ListNumber"/>
        <w:spacing w:line="240" w:lineRule="auto"/>
        <w:ind w:left="720"/>
      </w:pPr>
      <w:r/>
      <w:hyperlink r:id="rId14">
        <w:r>
          <w:rPr>
            <w:color w:val="0000EE"/>
            <w:u w:val="single"/>
          </w:rPr>
          <w:t>https://www.brookfield.com/sites/default/files/2024-03/2023_BN_Annual_Report_0.pdf</w:t>
        </w:r>
      </w:hyperlink>
      <w:r>
        <w:t xml:space="preserve"> - Brookfield Corporation's 2023 Annual Report highlights the company's expansion in the insurance sector, with insurance assets increasing to over $120 billion following the acquisition of American Equity Life (AEL) and the origination of annuity sales in 2024. The report also notes that the company's Wealth Solutions business achieved annualized earnings of $1.6 billion for the year, with spread earnings on the investment portfolio of 1.8%, expected to grow as the investment portfolio is repositioned.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surancejournal.com/news/international/2025/12/10/850466.htm" TargetMode="External"/><Relationship Id="rId10" Type="http://schemas.openxmlformats.org/officeDocument/2006/relationships/hyperlink" Target="https://www.insurancejournal.com/news/international/2025/08/07/834887.htm" TargetMode="External"/><Relationship Id="rId11" Type="http://schemas.openxmlformats.org/officeDocument/2006/relationships/hyperlink" Target="https://www.businesswire.com/news/home/20231115914463/en/Brookfield-Reinsurance-Completes-%241.1-Billion-Acquisition-of-Argo-Group" TargetMode="External"/><Relationship Id="rId12" Type="http://schemas.openxmlformats.org/officeDocument/2006/relationships/hyperlink" Target="https://www.insurancebusinessmag.com/us/news/mergers-acquisitions/brookfield-reinsurance-completes-5.1-billion-purchase-of-american-national-group-407317.aspx" TargetMode="External"/><Relationship Id="rId13" Type="http://schemas.openxmlformats.org/officeDocument/2006/relationships/hyperlink" Target="https://www.businesswire.com/news/home/20230704668892/en/Brookfield-Reinsurance-to-Acquire-AEL-in-%244.3-Billion-Transaction" TargetMode="External"/><Relationship Id="rId14" Type="http://schemas.openxmlformats.org/officeDocument/2006/relationships/hyperlink" Target="https://www.brookfield.com/sites/default/files/2024-03/2023_BN_Annual_Report_0.pdf"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