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firms accelerate adoption of AI, real-time payments, and ESG strategies to sustain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Financial technology firms across Australia, the United Kingdom and Singapore are reshaping their playbooks around three intertwined forces , artificial intelligence, real‑time payments and environmental, social and governance (ESG) considerations , as they seek growth in a more regulated and interconnected global market. According to the original report, a maturing of digital platforms and new working models is accelerating firms’ push to be both faster and more sustainable. </w:t>
      </w:r>
      <w:hyperlink r:id="rId9">
        <w:r>
          <w:rPr>
            <w:color w:val="0000EE"/>
            <w:u w:val="single"/>
          </w:rPr>
          <w:t>[1]</w:t>
        </w:r>
      </w:hyperlink>
      <w:r/>
    </w:p>
    <w:p>
      <w:r/>
      <w:r>
        <w:t xml:space="preserve">AI is being embedded into client journeys and risk processes rather than treated as an add‑on. Industry research shows human‑centred AI design improves trust and adoption for personalised services such as robo‑advisers and instant credit assessments, while explainable AutoML techniques are increasingly used to make credit decisions auditable and defensible to regulators. At the same time, firms are being pressed to codify governance: adversarial testing, bias controls and feedback loops are being recommended to manage explainability and model risk.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Payments infrastructure is shifting from batch to real‑time rails and towards multi‑rail, interoperable models that underpin embedded finance. National platforms such as Australia’s New Payments Platform and integrations like India’s UPI with Singapore’s PayNow illustrate how domestic instant‑payment systems can be linked to enable seamless person‑to‑merchant and cross‑border flows. Analysts argue real‑time rails should be treated as national infrastructure , with open architecture and neutral governance , to avoid fragmentation and to support trade, remittances and embedded commerce. Embedded finance providers are meanwhile stitching together SEPA, ACH, SWIFT and other rails to reduce friction and checkout abandonment for eCommerce. </w:t>
      </w:r>
      <w:hyperlink r:id="rId9">
        <w:r>
          <w:rPr>
            <w:color w:val="0000EE"/>
            <w:u w:val="single"/>
          </w:rPr>
          <w:t>[1]</w:t>
        </w:r>
      </w:hyperlink>
      <w:hyperlink r:id="rId12">
        <w:r>
          <w:rPr>
            <w:color w:val="0000EE"/>
            <w:u w:val="single"/>
          </w:rPr>
          <w:t>[3]</w:t>
        </w:r>
      </w:hyperlink>
      <w:hyperlink r:id="rId13">
        <w:r>
          <w:rPr>
            <w:color w:val="0000EE"/>
            <w:u w:val="single"/>
          </w:rPr>
          <w:t>[4]</w:t>
        </w:r>
      </w:hyperlink>
      <w:hyperlink r:id="rId14">
        <w:r>
          <w:rPr>
            <w:color w:val="0000EE"/>
            <w:u w:val="single"/>
          </w:rPr>
          <w:t>[5]</w:t>
        </w:r>
      </w:hyperlink>
      <w:hyperlink r:id="rId15">
        <w:r>
          <w:rPr>
            <w:color w:val="0000EE"/>
            <w:u w:val="single"/>
          </w:rPr>
          <w:t>[7]</w:t>
        </w:r>
      </w:hyperlink>
      <w:r/>
    </w:p>
    <w:p>
      <w:r/>
      <w:r>
        <w:t xml:space="preserve">Regulatory technology has moved from experimental to operational. Firms increasingly deploy AI‑driven compliance agents and automated risk tools to keep pace with intensifying rules, and jurisdictions such as Singapore continue to use regulatory sandboxes to permit controlled innovation while limiting systemic risk. The convergence of explainable AI and automated compliance workflows is presented in the literature as a route to faster, yet more transparent, regulatory reporting and fraud detection.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Sustainability considerations are being baked into product strategy and infrastructure choices. The sector is seeing wider adoption of ESG analytics, green lending, tokenised carbon‑credit tracking and moves away from energy‑intensive consensus mechanisms in cryptocurrencies. Firms are also adding carbon‑offset options to payment journeys and using data and generative AI to model climate risk when designing ESG products; industry observers say transparent reporting and blockchain‑based provenance are becoming table stakes for credibility. </w:t>
      </w:r>
      <w:hyperlink r:id="rId9">
        <w:r>
          <w:rPr>
            <w:color w:val="0000EE"/>
            <w:u w:val="single"/>
          </w:rPr>
          <w:t>[1]</w:t>
        </w:r>
      </w:hyperlink>
      <w:hyperlink r:id="rId15">
        <w:r>
          <w:rPr>
            <w:color w:val="0000EE"/>
            <w:u w:val="single"/>
          </w:rPr>
          <w:t>[7]</w:t>
        </w:r>
      </w:hyperlink>
      <w:r/>
    </w:p>
    <w:p>
      <w:r/>
      <w:r>
        <w:t xml:space="preserve">Changes to where and how people work are reinforcing these technical shifts. Hybrid and distributed models are established in many fintechs, enabling broader talent pools and cross‑border hiring while increasing reliance on secure, cloud‑native infrastructure and collaboration tooling. Firms report a strategic focus on culture and digital‑first operations to sustain productivity across dispersed teams. </w:t>
      </w:r>
      <w:hyperlink r:id="rId9">
        <w:r>
          <w:rPr>
            <w:color w:val="0000EE"/>
            <w:u w:val="single"/>
          </w:rPr>
          <w:t>[1]</w:t>
        </w:r>
      </w:hyperlink>
      <w:r/>
    </w:p>
    <w:p>
      <w:r/>
      <w:r>
        <w:t xml:space="preserve">Taken together, the strategic priorities are clear: create agile, API‑first services that combine instant settlement, responsible AI and demonstrable sustainability; adopt regtech and governance frameworks to preserve trust; and reduce dependence on legacy banking plumbing by partnering with infrastructure and embedded finance providers. Practical steps recommended in the sector include formal AI governance, adversarial robustness testing, phased rollouts of embedded products with neutral interoperability, and transparent ESG reporting supported by technology. </w:t>
      </w:r>
      <w:hyperlink r:id="rId9">
        <w:r>
          <w:rPr>
            <w:color w:val="0000EE"/>
            <w:u w:val="single"/>
          </w:rPr>
          <w:t>[1]</w:t>
        </w:r>
      </w:hyperlink>
      <w:hyperlink r:id="rId12">
        <w:r>
          <w:rPr>
            <w:color w:val="0000EE"/>
            <w:u w:val="single"/>
          </w:rPr>
          <w:t>[3]</w:t>
        </w:r>
      </w:hyperlink>
      <w:hyperlink r:id="rId14">
        <w:r>
          <w:rPr>
            <w:color w:val="0000EE"/>
            <w:u w:val="single"/>
          </w:rPr>
          <w:t>[5]</w:t>
        </w:r>
      </w:hyperlink>
      <w:r/>
    </w:p>
    <w:p>
      <w:r/>
      <w:r>
        <w:t xml:space="preserve">"The firms that embed sustainability, adopt next‑gen tech responsibly, and embrace new work models will be best placed for the decade ahead," said Hiran Daluwatta, Founder and CEO, Noteworthy Global, reflecting the strategic consensus described in the original report.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(CFOTECH)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(arXiv) - Paragraph 2, Paragraph 4 </w:t>
      </w:r>
      <w:r/>
    </w:p>
    <w:p>
      <w:pPr>
        <w:pStyle w:val="ListBullet"/>
        <w:spacing w:line="240" w:lineRule="auto"/>
        <w:ind w:left="720"/>
      </w:pPr>
      <w:r/>
      <w:hyperlink r:id="rId12">
        <w:r>
          <w:rPr>
            <w:color w:val="0000EE"/>
            <w:u w:val="single"/>
          </w:rPr>
          <w:t>[3]</w:t>
        </w:r>
      </w:hyperlink>
      <w:r>
        <w:t xml:space="preserve"> (Montran) - Paragraph 3, Paragraph 7 </w:t>
      </w:r>
      <w:r/>
    </w:p>
    <w:p>
      <w:pPr>
        <w:pStyle w:val="ListBullet"/>
        <w:spacing w:line="240" w:lineRule="auto"/>
        <w:ind w:left="720"/>
      </w:pPr>
      <w:r/>
      <w:hyperlink r:id="rId13">
        <w:r>
          <w:rPr>
            <w:color w:val="0000EE"/>
            <w:u w:val="single"/>
          </w:rPr>
          <w:t>[4]</w:t>
        </w:r>
      </w:hyperlink>
      <w:r>
        <w:t xml:space="preserve"> (Wikipedia) - Paragraph 3 </w:t>
      </w:r>
      <w:r/>
    </w:p>
    <w:p>
      <w:pPr>
        <w:pStyle w:val="ListBullet"/>
        <w:spacing w:line="240" w:lineRule="auto"/>
        <w:ind w:left="720"/>
      </w:pPr>
      <w:r/>
      <w:hyperlink r:id="rId14">
        <w:r>
          <w:rPr>
            <w:color w:val="0000EE"/>
            <w:u w:val="single"/>
          </w:rPr>
          <w:t>[5]</w:t>
        </w:r>
      </w:hyperlink>
      <w:r>
        <w:t xml:space="preserve"> (Crowdfund Insider) - Paragraph 3, Paragraph 7 </w:t>
      </w:r>
      <w:r/>
    </w:p>
    <w:p>
      <w:pPr>
        <w:pStyle w:val="ListBullet"/>
        <w:spacing w:line="240" w:lineRule="auto"/>
        <w:ind w:left="720"/>
      </w:pPr>
      <w:r/>
      <w:hyperlink r:id="rId11">
        <w:r>
          <w:rPr>
            <w:color w:val="0000EE"/>
            <w:u w:val="single"/>
          </w:rPr>
          <w:t>[6]</w:t>
        </w:r>
      </w:hyperlink>
      <w:r>
        <w:t xml:space="preserve"> (arXiv) - Paragraph 2, Paragraph 4 </w:t>
      </w:r>
      <w:r/>
    </w:p>
    <w:p>
      <w:pPr>
        <w:pStyle w:val="ListBullet"/>
        <w:spacing w:line="240" w:lineRule="auto"/>
        <w:ind w:left="720"/>
      </w:pPr>
      <w:r/>
      <w:hyperlink r:id="rId15">
        <w:r>
          <w:rPr>
            <w:color w:val="0000EE"/>
            <w:u w:val="single"/>
          </w:rPr>
          <w:t>[7]</w:t>
        </w:r>
      </w:hyperlink>
      <w:r>
        <w:t xml:space="preserve"> (FintechTris) - Paragraph 3,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https://cfotech.co.nz/story/fintech-firms-embrace-ai-real-time-payments-esg-for-growth</w:t>
        </w:r>
      </w:hyperlink>
      <w:r>
        <w:t xml:space="preserve"> - Please view link - unable to able to access data</w:t>
      </w:r>
      <w:r/>
    </w:p>
    <w:p>
      <w:pPr>
        <w:pStyle w:val="ListNumber"/>
        <w:spacing w:line="240" w:lineRule="auto"/>
        <w:ind w:left="720"/>
      </w:pPr>
      <w:r/>
      <w:hyperlink r:id="rId10">
        <w:r>
          <w:rPr>
            <w:color w:val="0000EE"/>
            <w:u w:val="single"/>
          </w:rPr>
          <w:t>https://arxiv.org/abs/2506.15325</w:t>
        </w:r>
      </w:hyperlink>
      <w:r>
        <w:t xml:space="preserve"> - This research paper explores the role of Human-Centred AI (HCAI) in the financial technology sector, focusing on how AI-driven data analytics, machine learning, and natural language processing enable financial institutions to develop personalised financial products and services. It examines the integration of AI-powered robo-advisory services that offer customised investment recommendations and portfolio management tailored to diverse risk profiles and investment goals. The study also highlights the importance of AI in enhancing fraud detection, risk assessment, and regulatory compliance, leading to a more secure and adaptable financial landscape. The findings provide a strategic framework for financial institutions to leverage these technologies, ensuring that AI-driven solutions align with user needs and business objectives.</w:t>
      </w:r>
      <w:r/>
    </w:p>
    <w:p>
      <w:pPr>
        <w:pStyle w:val="ListNumber"/>
        <w:spacing w:line="240" w:lineRule="auto"/>
        <w:ind w:left="720"/>
      </w:pPr>
      <w:r/>
      <w:hyperlink r:id="rId12">
        <w:r>
          <w:rPr>
            <w:color w:val="0000EE"/>
            <w:u w:val="single"/>
          </w:rPr>
          <w:t>https://www.montran.com/resources/designing-for-embedded-finance-why-real-time-rails-must-be-built-as-national-strategy-not-just-fintech-features/</w:t>
        </w:r>
      </w:hyperlink>
      <w:r>
        <w:t xml:space="preserve"> - This article discusses the critical design considerations for embedded finance, particularly the necessity of developing real-time payment systems as national infrastructure rather than mere fintech features. It emphasises the importance of open architecture, neutral governance, and cross-border interoperability to support trade and remittances. The piece also addresses potential risks and trade-offs, such as governance capture, fragmentation, and access inequality, and advocates for transparent governance, phased rollout, and regional coordination to mitigate these issues. The author argues that real-time payments are no longer boutique products but essential components of national strategy.</w:t>
      </w:r>
      <w:r/>
    </w:p>
    <w:p>
      <w:pPr>
        <w:pStyle w:val="ListNumber"/>
        <w:spacing w:line="240" w:lineRule="auto"/>
        <w:ind w:left="720"/>
      </w:pPr>
      <w:r/>
      <w:hyperlink r:id="rId13">
        <w:r>
          <w:rPr>
            <w:color w:val="0000EE"/>
            <w:u w:val="single"/>
          </w:rPr>
          <w:t>https://en.wikipedia.org/wiki/Unified_Payments_Interface</w:t>
        </w:r>
      </w:hyperlink>
      <w:r>
        <w:t xml:space="preserve"> - The Unified Payments Interface (UPI) is a real-time payment system developed in India that facilitates inter-bank peer-to-peer and person-to-merchant transactions. It operates through each country's domestic switching system, independent of global networks such as SWIFT, VISA, or MasterCard. UPI has been integrated with Singapore's similar payment system, PayNow, enabling seamless cross-border transactions between the two countries. This integration allows users to make payments by scanning a single QR code, regardless of the issuing institution of their payment app, enhancing interoperability among multiple banks and e-wallet providers.</w:t>
      </w:r>
      <w:r/>
    </w:p>
    <w:p>
      <w:pPr>
        <w:pStyle w:val="ListNumber"/>
        <w:spacing w:line="240" w:lineRule="auto"/>
        <w:ind w:left="720"/>
      </w:pPr>
      <w:r/>
      <w:hyperlink r:id="rId14">
        <w:r>
          <w:rPr>
            <w:color w:val="0000EE"/>
            <w:u w:val="single"/>
          </w:rPr>
          <w:t>https://www.crowdfundinsider.com/2024/04/223324-embedded-finance-firms-are-enabling-frictionless-interoperability-between-payment-rails-report/</w:t>
        </w:r>
      </w:hyperlink>
      <w:r>
        <w:t xml:space="preserve"> - This report highlights how embedded finance companies are facilitating seamless interoperability between various payment rails, including SEPA, CHAPS, BACS, ACH, and SWIFT, to enable instant payments on both domestic and global scales. It discusses the role of multi-rail payments in reducing cart abandonment within eCommerce contexts and the emergence of business models like Buy Now, Pay Later (BNPL) and digital wallets, which provide increased flexibility in purchasing through preferred methods. The report underscores the importance of embedded finance in enhancing the efficiency and reach of cross-border payments.</w:t>
      </w:r>
      <w:r/>
    </w:p>
    <w:p>
      <w:pPr>
        <w:pStyle w:val="ListNumber"/>
        <w:spacing w:line="240" w:lineRule="auto"/>
        <w:ind w:left="720"/>
      </w:pPr>
      <w:r/>
      <w:hyperlink r:id="rId11">
        <w:r>
          <w:rPr>
            <w:color w:val="0000EE"/>
            <w:u w:val="single"/>
          </w:rPr>
          <w:t>https://arxiv.org/abs/2402.03806</w:t>
        </w:r>
      </w:hyperlink>
      <w:r>
        <w:t xml:space="preserve"> - This paper explores the integration of Explainable Automated Machine Learning (AutoML) in financial engineering, specifically focusing on its application in credit decision-making. It examines how AutoML can streamline the development of robust machine learning models for credit scoring, while Explainable AI (XAI) methods, particularly SHapley Additive exPlanations (SHAP), provide insights into the models' decision-making processes. The study demonstrates how the combination of AutoML and XAI enhances the efficiency and accuracy of credit decisions, fostering trust and collaboration between humans and AI systems, and aligning with regulatory requirements and ethical considerations.</w:t>
      </w:r>
      <w:r/>
    </w:p>
    <w:p>
      <w:pPr>
        <w:pStyle w:val="ListNumber"/>
        <w:spacing w:line="240" w:lineRule="auto"/>
        <w:ind w:left="720"/>
      </w:pPr>
      <w:r/>
      <w:hyperlink r:id="rId15">
        <w:r>
          <w:rPr>
            <w:color w:val="0000EE"/>
            <w:u w:val="single"/>
          </w:rPr>
          <w:t>https://www.fintechtris.com/blog/the-state-of-cross-border-payments-in-2025</w:t>
        </w:r>
      </w:hyperlink>
      <w:r>
        <w:t xml:space="preserve"> - This article discusses the evolution of cross-border payments, focusing on the adoption of ISO 20022 data standards, interlinking of domestic instant-payment systems, and the tokenization of money and assets. It highlights how these developments lead to data-rich, programmable movement of funds, reducing friction across legal entities, currencies, and time zones. The piece also addresses the challenges and opportunities in cross-border payments, including the need for interoperability, harmonization, and global standards to achieve frictionless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fotech.co.nz/story/fintech-firms-embrace-ai-real-time-payments-esg-for-growth" TargetMode="External"/><Relationship Id="rId10" Type="http://schemas.openxmlformats.org/officeDocument/2006/relationships/hyperlink" Target="https://arxiv.org/abs/2506.15325" TargetMode="External"/><Relationship Id="rId11" Type="http://schemas.openxmlformats.org/officeDocument/2006/relationships/hyperlink" Target="https://arxiv.org/abs/2402.03806" TargetMode="External"/><Relationship Id="rId12" Type="http://schemas.openxmlformats.org/officeDocument/2006/relationships/hyperlink" Target="https://www.montran.com/resources/designing-for-embedded-finance-why-real-time-rails-must-be-built-as-national-strategy-not-just-fintech-features/" TargetMode="External"/><Relationship Id="rId13" Type="http://schemas.openxmlformats.org/officeDocument/2006/relationships/hyperlink" Target="https://en.wikipedia.org/wiki/Unified_Payments_Interface" TargetMode="External"/><Relationship Id="rId14" Type="http://schemas.openxmlformats.org/officeDocument/2006/relationships/hyperlink" Target="https://www.crowdfundinsider.com/2024/04/223324-embedded-finance-firms-are-enabling-frictionless-interoperability-between-payment-rails-report/" TargetMode="External"/><Relationship Id="rId15" Type="http://schemas.openxmlformats.org/officeDocument/2006/relationships/hyperlink" Target="https://www.fintechtris.com/blog/the-state-of-cross-border-payments-in-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