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HashKey’s Hong Kong IPO marks a turning point for regulated crypto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HashKey Holdings has cleared a Hong Kong Stock Exchange listing hearing, moving the city’s largest licensed cryptocurrency exchange a step closer to an initial public offering that would concretise Hong Kong’s strategy of building a tightly regulated digital-asset market. According to the original report, the company disclosed on Dec. 1 that it had passed the hearing, a milestone that positions HashKey to advance its IPO plans as the city seeks to offer a regulated alternative to mainland China’s crypto ban. </w:t>
      </w:r>
      <w:hyperlink r:id="rId9">
        <w:r>
          <w:rPr>
            <w:color w:val="0000EE"/>
            <w:u w:val="single"/>
          </w:rPr>
          <w:t>[1]</w:t>
        </w:r>
      </w:hyperlink>
      <w:r/>
    </w:p>
    <w:p>
      <w:r/>
      <w:r>
        <w:t xml:space="preserve">The filing does not disclose final deal size or timing, but earlier coverage and market reports indicate the company has explored raising sums in the low hundreds of millions of dollars, with press accounts suggesting an IPO target range of roughly US$214m–$300m and banks including JPMorgan Chase, Guotai Haitong Securities and Guotai Junan International acting as joint sponsors. Industry commentary frames the listing as a barometer for the mainstreaming of digital assets in Hong Kong and as a test of investor appetite in the face of Beijing’s continued scepticism.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HashKey’s regulatory pedigree underpins its strategic importance: it operates under the Securities and Futures Commission’s framework with Type 1 and Type 7 permissions and an asset-management arm authorised to manage portfolios fully invested in virtual assets. The company is one of 11 licensed retail trading platforms in Hong Kong and, according to its filing, accounted for more than three quarters of onshore digital-asset trading volume in 2024 while holding nearly HK$20 billion (about US$2.56 billion) in client assets. Those figures underscore both its dominance within the locally licensed market and the SFC’s role in shaping a defined market structure. </w:t>
      </w:r>
      <w:hyperlink r:id="rId9">
        <w:r>
          <w:rPr>
            <w:color w:val="0000EE"/>
            <w:u w:val="single"/>
          </w:rPr>
          <w:t>[1]</w:t>
        </w:r>
      </w:hyperlink>
      <w:r/>
    </w:p>
    <w:p>
      <w:r/>
      <w:r>
        <w:t xml:space="preserve">Despite scale, HashKey remains unprofitable. The company reported a net loss of HK$506 million in the first half of 2025, an improvement from HK$777 million a year earlier, and attributed performance to market volatility. The IPO prospectus and media coverage indicate proceeds would be used for technology upgrades, broader product development, operational strengthening and geographic expansion, while the firm has signalled a parallel focus on improving risk management as part of a longer-term plan to reach profitability. </w:t>
      </w:r>
      <w:hyperlink r:id="rId9">
        <w:r>
          <w:rPr>
            <w:color w:val="0000EE"/>
            <w:u w:val="single"/>
          </w:rPr>
          <w:t>[1]</w:t>
        </w:r>
      </w:hyperlink>
      <w:hyperlink r:id="rId12">
        <w:r>
          <w:rPr>
            <w:color w:val="0000EE"/>
            <w:u w:val="single"/>
          </w:rPr>
          <w:t>[4]</w:t>
        </w:r>
      </w:hyperlink>
      <w:r/>
    </w:p>
    <w:p>
      <w:r/>
      <w:r>
        <w:t xml:space="preserve">Ahead of any listing, HashKey has been accelerating international approvals to broaden its footprint, securing conditional permission to operate in Dubai and regulatory permissions in Bermuda and Ireland. The exchange has also launched a $500 million Digital Asset Treasury fund aimed at institutional participation and long-term adoption of assets such as Ethereum and Bitcoin-related projects, a move industry observers say is designed to attract institutional capital and to standardise crypto asset management practices. Reuters reporting framed the fund as part of a strategy to promote a sustainable Web3 ecosystem and to emulate institutional treasury approaches gaining traction in 2025. </w:t>
      </w:r>
      <w:hyperlink r:id="rId9">
        <w:r>
          <w:rPr>
            <w:color w:val="0000EE"/>
            <w:u w:val="single"/>
          </w:rPr>
          <w:t>[1]</w:t>
        </w:r>
      </w:hyperlink>
      <w:hyperlink r:id="rId13">
        <w:r>
          <w:rPr>
            <w:color w:val="0000EE"/>
            <w:u w:val="single"/>
          </w:rPr>
          <w:t>[3]</w:t>
        </w:r>
      </w:hyperlink>
      <w:r/>
    </w:p>
    <w:p>
      <w:r/>
      <w:r>
        <w:t xml:space="preserve">The timing of HashKey’s listing unfolds against broader Hong Kong market dynamics and regulatory scrutiny. Hong Kong authorities and HKEX have recently urged banks and sponsors to maintain high standards amid a wave of IPO applications, warning of punitive measures for substandard filings as the bourse manages a heavy pipeline of mainly mainland issuers. Regulators’ insistence on rigorous submissions and tighter review processes increases the premium on a well-prepared listing for a crypto platform seeking to reassure institutional and retail investors. Market reports also place the expected pricing and timetable in mid-December 2025, contingent on investor demand and final pricing. </w:t>
      </w:r>
      <w:hyperlink r:id="rId12">
        <w:r>
          <w:rPr>
            <w:color w:val="0000EE"/>
            <w:u w:val="single"/>
          </w:rPr>
          <w:t>[4]</w:t>
        </w:r>
      </w:hyperlink>
      <w:hyperlink r:id="rId10">
        <w:r>
          <w:rPr>
            <w:color w:val="0000EE"/>
            <w:u w:val="single"/>
          </w:rPr>
          <w:t>[2]</w:t>
        </w:r>
      </w:hyperlink>
      <w:hyperlink r:id="rId11">
        <w:r>
          <w:rPr>
            <w:color w:val="0000EE"/>
            <w:u w:val="single"/>
          </w:rPr>
          <w:t>[5]</w:t>
        </w:r>
      </w:hyperlink>
      <w:r/>
    </w:p>
    <w:p>
      <w:r/>
      <w:r>
        <w:t xml:space="preserve">HashKey’s prospective listing thus crystallises the tension at the heart of Hong Kong’s digital-asset ambitions: the city is attempting to marry traditional capital-market disciplines with crypto innovation, using licensed actors to channel activity into regulated corridors even as mainland authorities maintain prohibitions. The IPO will be closely watched as both a commercial test for HashKey’s business model and a policy litmus test for how far Hong Kong can expand its regulated crypto ecosystem without provoking political or market headwinds. </w:t>
      </w:r>
      <w:hyperlink r:id="rId9">
        <w:r>
          <w:rPr>
            <w:color w:val="0000EE"/>
            <w:u w:val="single"/>
          </w:rPr>
          <w:t>[1]</w:t>
        </w:r>
      </w:hyperlink>
      <w:hyperlink r:id="rId14">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(CoinJournal) - Paragraph 1, Paragraph 2, Paragraph 3, Paragraph 4, Paragraph 6</w:t>
      </w:r>
      <w:r/>
    </w:p>
    <w:p>
      <w:pPr>
        <w:pStyle w:val="ListBullet"/>
        <w:spacing w:line="240" w:lineRule="auto"/>
        <w:ind w:left="720"/>
      </w:pPr>
      <w:r/>
      <w:hyperlink r:id="rId10">
        <w:r>
          <w:rPr>
            <w:color w:val="0000EE"/>
            <w:u w:val="single"/>
          </w:rPr>
          <w:t>[2]</w:t>
        </w:r>
      </w:hyperlink>
      <w:r>
        <w:t xml:space="preserve"> (South China Morning Post) - Paragraph 2, Paragraph 6</w:t>
      </w:r>
      <w:r/>
    </w:p>
    <w:p>
      <w:pPr>
        <w:pStyle w:val="ListBullet"/>
        <w:spacing w:line="240" w:lineRule="auto"/>
        <w:ind w:left="720"/>
      </w:pPr>
      <w:r/>
      <w:hyperlink r:id="rId13">
        <w:r>
          <w:rPr>
            <w:color w:val="0000EE"/>
            <w:u w:val="single"/>
          </w:rPr>
          <w:t>[3]</w:t>
        </w:r>
      </w:hyperlink>
      <w:r>
        <w:t xml:space="preserve"> (Reuters) - Paragraph 5</w:t>
      </w:r>
      <w:r/>
    </w:p>
    <w:p>
      <w:pPr>
        <w:pStyle w:val="ListBullet"/>
        <w:spacing w:line="240" w:lineRule="auto"/>
        <w:ind w:left="720"/>
      </w:pPr>
      <w:r/>
      <w:hyperlink r:id="rId12">
        <w:r>
          <w:rPr>
            <w:color w:val="0000EE"/>
            <w:u w:val="single"/>
          </w:rPr>
          <w:t>[4]</w:t>
        </w:r>
      </w:hyperlink>
      <w:r>
        <w:t xml:space="preserve"> (Reuters) - Paragraph 4, Paragraph 6</w:t>
      </w:r>
      <w:r/>
    </w:p>
    <w:p>
      <w:pPr>
        <w:pStyle w:val="ListBullet"/>
        <w:spacing w:line="240" w:lineRule="auto"/>
        <w:ind w:left="720"/>
      </w:pPr>
      <w:r/>
      <w:hyperlink r:id="rId11">
        <w:r>
          <w:rPr>
            <w:color w:val="0000EE"/>
            <w:u w:val="single"/>
          </w:rPr>
          <w:t>[5]</w:t>
        </w:r>
      </w:hyperlink>
      <w:r>
        <w:t xml:space="preserve"> (South China Morning Post) - Paragraph 2, Paragraph 6</w:t>
      </w:r>
      <w:r/>
    </w:p>
    <w:p>
      <w:pPr>
        <w:pStyle w:val="ListBullet"/>
        <w:spacing w:line="240" w:lineRule="auto"/>
        <w:ind w:left="720"/>
      </w:pPr>
      <w:r/>
      <w:hyperlink r:id="rId14">
        <w:r>
          <w:rPr>
            <w:color w:val="0000EE"/>
            <w:u w:val="single"/>
          </w:rPr>
          <w:t>[6]</w:t>
        </w:r>
      </w:hyperlink>
      <w:r>
        <w:t xml:space="preserve"> (Reuters)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https://coinjournal.net/news/hong-kong-tightens-crypto-grip-as-hashkey-clears-path-to-ipo/</w:t>
        </w:r>
      </w:hyperlink>
      <w:r>
        <w:t xml:space="preserve"> - Please view link - unable to able to access data</w:t>
      </w:r>
      <w:r/>
    </w:p>
    <w:p>
      <w:pPr>
        <w:pStyle w:val="ListNumber"/>
        <w:spacing w:line="240" w:lineRule="auto"/>
        <w:ind w:left="720"/>
      </w:pPr>
      <w:r/>
      <w:hyperlink r:id="rId10">
        <w:r>
          <w:rPr>
            <w:color w:val="0000EE"/>
            <w:u w:val="single"/>
          </w:rPr>
          <w:t>https://www.scmp.com/tech/policy/article/3335154/hashkeys-hong-kong-ipo-highlights-crypto-exchange-challenges-under-beijings-watchful-eye</w:t>
        </w:r>
      </w:hyperlink>
      <w:r>
        <w:t xml:space="preserve"> - HashKey Holdings, Hong Kong's largest licensed cryptocurrency exchange, has cleared its listing hearing with the Hong Kong Stock Exchange (HKEX), moving closer to an initial public offering (IPO) that could raise up to US$300 million. This development underscores Hong Kong's ambition to become a global digital asset hub, even as Beijing maintains a strict stance on cryptocurrencies. The IPO is expected to debut on the HKEX within the next two to three months, contingent on investor interest. This marks a significant milestone for HashKey, established in 2018, as it navigates the complexities of operating under Beijing's watchful eye. The listing is seen as a barometer for the mainstreaming of digital assets in Hong Kong, highlighting the challenges faced by local platforms amid regulatory scrutiny. Analysts view the acceptance of a major crypto exchange into the bourse as a strong indicator of the growing influence of digital assets in the city. The IPO's success will depend on market conditions and investor appetite, with the listing date set for December 17, 2025. The move reflects Hong Kong's efforts to position itself as a regulated gateway for digital assets in the region, despite the contrasting regulatory environment in mainland China. The listing is also seen as a response to the increasing global interest in cryptocurrencies and the need for regulated platforms to facilitate their integration into mainstream financial markets.</w:t>
      </w:r>
      <w:r/>
    </w:p>
    <w:p>
      <w:pPr>
        <w:pStyle w:val="ListNumber"/>
        <w:spacing w:line="240" w:lineRule="auto"/>
        <w:ind w:left="720"/>
      </w:pPr>
      <w:r/>
      <w:hyperlink r:id="rId13">
        <w:r>
          <w:rPr>
            <w:color w:val="0000EE"/>
            <w:u w:val="single"/>
          </w:rPr>
          <w:t>https://www.reuters.com/sustainability/climate-energy/hong-kong-crypto-exchange-hashkey-launch-500-million-digital-treasury-fund-2025-09-08/</w:t>
        </w:r>
      </w:hyperlink>
      <w:r>
        <w:t xml:space="preserve"> - HashKey Group, Hong Kong's largest licensed cryptocurrency exchange, has announced the launch of its inaugural Digital Asset Treasury (DAT) fund, targeting an initial size of $500 million. The fund will adopt a strategy where public companies accumulate cryptocurrency assets to capitalise on rising token prices and favourable regulatory shifts. This approach has gained traction in 2025, influenced by the success of U.S.-based company Strategy, which holds over $63 billion in cryptocurrencies since adopting a similar strategy in 2020. HashKey plans to invest in and manage high-quality DAT projects globally, aiming to promote the standardisation of crypto assets and support the growth of a sustainable Web3 ecosystem—a decentralised internet based on blockchain technology. The fund will prioritise mainstream crypto assets, particularly Ethereum and Bitcoin-related projects, as part of a diversified portfolio strategy. This move underscores HashKey's commitment to advancing the digital asset industry and its confidence in the long-term potential of cryptocurrencies. The launch of the DAT fund is seen as a strategic initiative to attract institutional investors and further solidify HashKey's position in the global digital asset market.</w:t>
      </w:r>
      <w:r/>
    </w:p>
    <w:p>
      <w:pPr>
        <w:pStyle w:val="ListNumber"/>
        <w:spacing w:line="240" w:lineRule="auto"/>
        <w:ind w:left="720"/>
      </w:pPr>
      <w:r/>
      <w:hyperlink r:id="rId12">
        <w:r>
          <w:rPr>
            <w:color w:val="0000EE"/>
            <w:u w:val="single"/>
          </w:rPr>
          <w:t>https://www.reuters.com/sustainability/boards-policy-regulation-hong-kong-exchange-regulator-ask-banks-maintain-quality-ipo-applications-2025-12-09/</w:t>
        </w:r>
      </w:hyperlink>
      <w:r>
        <w:t xml:space="preserve"> - Hong Kong's securities regulator and the stock exchange operator, HKEX, have urged investment banks to maintain high standards when preparing initial public offering (IPO) applications. This call comes amid concerns that a surge in IPO activity—largely from Chinese firms—has led some banks to mishandle multiple listings simultaneously, compromising application quality. With over 300 companies, mostly from mainland China, applying to list, authorities are keen to preserve Hong Kong’s attractiveness as a global financial hub. In response, HKEX emphasized their commitment to rigorous and timely reviews and underscored their collaboration with issuers and advisers to ensure comprehensive submissions. The Securities and Futures Commission (SFC) echoed this stance, promoting a high-quality and vibrant capital market. Regulatory scrutiny has intensified in recent years, especially concerning market manipulation and corporate fraud. Authorities have previously fined sponsors for inadequate due diligence, and in this latest move, they warn of potential punitive actions, including financial penalties, for substandard IPO applications. With $75 billion raised so far in 2025—tripling last year’s total—Hong Kong remains Asia’s IPO leader, making regulatory oversight critical.</w:t>
      </w:r>
      <w:r/>
    </w:p>
    <w:p>
      <w:pPr>
        <w:pStyle w:val="ListNumber"/>
        <w:spacing w:line="240" w:lineRule="auto"/>
        <w:ind w:left="720"/>
      </w:pPr>
      <w:r/>
      <w:hyperlink r:id="rId11">
        <w:r>
          <w:rPr>
            <w:color w:val="0000EE"/>
            <w:u w:val="single"/>
          </w:rPr>
          <w:t>https://www.scmp.com/business/cryptocurrency/article/3335725/hashkey-aims-us214-million-hong-kong-ipo-amid-beijings-crypto-pressure</w:t>
        </w:r>
      </w:hyperlink>
      <w:r>
        <w:t xml:space="preserve"> - HashKey Holdings, Hong Kong's largest licensed cryptocurrency exchange, has launched its share sale in Hong Kong, aiming to raise up to HK$1.67 billion (US$214 million) in its initial public offering (IPO). The company is offering 240.6 million shares at a price range of HK$5.95 to HK$6.95 each, with final pricing slated for December 16, and shares set to debut on the Hong Kong exchange the following day. This move comes amid repeated warnings against virtual currencies by China’s central bank, testing investor appetite for regulated digital-asset businesses in Asia. Despite the regulatory challenges, retail investors have oversubscribed to the offering, indicating strong demand for compliant crypto platforms. The IPO's success will depend on market conditions and investor interest, with the listing date set for December 17, 2025. The move reflects Hong Kong's efforts to position itself as a regulated gateway for digital assets in the region, despite the contrasting regulatory environment in mainland China. The listing is also seen as a response to the increasing global interest in cryptocurrencies and the need for regulated platforms to facilitate their integration into mainstream financial markets.</w:t>
      </w:r>
      <w:r/>
    </w:p>
    <w:p>
      <w:pPr>
        <w:pStyle w:val="ListNumber"/>
        <w:spacing w:line="240" w:lineRule="auto"/>
        <w:ind w:left="720"/>
      </w:pPr>
      <w:r/>
      <w:hyperlink r:id="rId14">
        <w:r>
          <w:rPr>
            <w:color w:val="0000EE"/>
            <w:u w:val="single"/>
          </w:rPr>
          <w:t>https://www.reuters.com/markets/currencies/hong-kong-gives-initial-approval-first-bitcoin-ether-spot-etfs-say-funds-2024-04-15/</w:t>
        </w:r>
      </w:hyperlink>
      <w:r>
        <w:t xml:space="preserve"> - Hong Kong has conditionally approved its first spot Bitcoin and Ether exchange-traded funds (ETFs), positioning itself as Asia’s first hub to integrate cryptocurrencies as mainstream investment tools. The Hong Kong units of Harvest Fund Management, Bosera Asset Management, and China Asset Management (ChinaAMC HK) have received approvals or are developing crypto ETFs, with official confirmation from the Securities and Futures Commission (SFC) pending certain conditions, including Hong Kong Stock Exchange listing approval and administrative filings. This development reflects Hong Kong's ambition to become a global digital asset centre, even as Beijing maintains a strict stance on cryptocurrencies. The ETFs will include an 'in-kind' subscription model, allowing direct investment using Bitcoin or Ether. This move is expected to attract institutional investors and further integrate cryptocurrencies into the mainstream financial market. The approval of these ETFs is seen as a significant step in Hong Kong's efforts to establish itself as a leading hub for digital asset trading and investment in Asia.</w:t>
      </w:r>
      <w:r/>
    </w:p>
    <w:p>
      <w:pPr>
        <w:pStyle w:val="ListNumber"/>
        <w:spacing w:line="240" w:lineRule="auto"/>
        <w:ind w:left="720"/>
      </w:pPr>
      <w:r/>
      <w:hyperlink r:id="rId16">
        <w:r>
          <w:rPr>
            <w:color w:val="0000EE"/>
            <w:u w:val="single"/>
          </w:rPr>
          <w:t>https://www.reuters.com/markets/asia/hong-kong-regulators-move-speed-up-company-listings-2024-10-18/</w:t>
        </w:r>
      </w:hyperlink>
      <w:r>
        <w:t xml:space="preserve"> - Hong Kong's bourse and securities regulator on Friday moved to shorten the approval time for company listings, the latest effort to boost the attractiveness of Hong Kong as a global venue for initial public offerings (IPO). Hong Kong Exchanges and Clearing (HKEX ... said it would communicate closely ... . HKEX and SFC review all ... . For companies already listed in the mainland ... . The new timeframes will come into ... . Hong Kong's stock market saw a ... .</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journal.net/news/hong-kong-tightens-crypto-grip-as-hashkey-clears-path-to-ipo/" TargetMode="External"/><Relationship Id="rId10" Type="http://schemas.openxmlformats.org/officeDocument/2006/relationships/hyperlink" Target="https://www.scmp.com/tech/policy/article/3335154/hashkeys-hong-kong-ipo-highlights-crypto-exchange-challenges-under-beijings-watchful-eye" TargetMode="External"/><Relationship Id="rId11" Type="http://schemas.openxmlformats.org/officeDocument/2006/relationships/hyperlink" Target="https://www.scmp.com/business/cryptocurrency/article/3335725/hashkey-aims-us214-million-hong-kong-ipo-amid-beijings-crypto-pressure" TargetMode="External"/><Relationship Id="rId12" Type="http://schemas.openxmlformats.org/officeDocument/2006/relationships/hyperlink" Target="https://www.reuters.com/sustainability/boards-policy-regulation-hong-kong-exchange-regulator-ask-banks-maintain-quality-ipo-applications-2025-12-09/" TargetMode="External"/><Relationship Id="rId13" Type="http://schemas.openxmlformats.org/officeDocument/2006/relationships/hyperlink" Target="https://www.reuters.com/sustainability/climate-energy/hong-kong-crypto-exchange-hashkey-launch-500-million-digital-treasury-fund-2025-09-08/" TargetMode="External"/><Relationship Id="rId14" Type="http://schemas.openxmlformats.org/officeDocument/2006/relationships/hyperlink" Target="https://www.reuters.com/markets/currencies/hong-kong-gives-initial-approval-first-bitcoin-ether-spot-etfs-say-funds-2024-04-15/" TargetMode="External"/><Relationship Id="rId15" Type="http://schemas.openxmlformats.org/officeDocument/2006/relationships/hyperlink" Target="https://www.noahwire.com" TargetMode="External"/><Relationship Id="rId16" Type="http://schemas.openxmlformats.org/officeDocument/2006/relationships/hyperlink" Target="https://www.reuters.com/markets/asia/hong-kong-regulators-move-speed-up-company-listings-2024-10-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