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Infrastructure focus accelerates as founders build trust and operational resilience across industries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From construction finance to digital identity and generative AI governance, a wave of infrastructure bets this week underlines a broader shift: founders are increasingly focused on building the platforms and rails that enable trust, liquidity and operational resilience across industries rather than stand‑alone consumer features. According to the original report, the deals spotlighted, Billd, Lettuce, Portal26 and CMT Digital, illustrate distinct but connected efforts to stabilise cash flows, consolidate services for high‑earning independents, manage enterprise AI risk and re‑architect financial plumbing for blockchain‑native markets. </w:t>
      </w:r>
      <w:hyperlink r:id="rId9">
        <w:r>
          <w:rPr>
            <w:color w:val="0000EE"/>
            <w:u w:val="single"/>
          </w:rPr>
          <w:t>[1]</w:t>
        </w:r>
      </w:hyperlink>
      <w:r/>
    </w:p>
    <w:p>
      <w:r/>
      <w:r>
        <w:t xml:space="preserve">In construction finance, Billd’s $7.3 million strategic injection is aimed squarely at smoothing a perennial industry pain: subcontractor cash‑flow volatility. The funding, led by MissionOG with participation from HighSage Ventures and RJT Credit, will accelerate early‑pay programmes such as Predictable Pay , a product developed with general contractors to deliver faster, more predictable payments and align incentives across project supply chains. According to the announcement, the intention is to reduce liquidity shortfalls that derail scheduling and increase project risk. </w:t>
      </w:r>
      <w:hyperlink r:id="rId10">
        <w:r>
          <w:rPr>
            <w:color w:val="0000EE"/>
            <w:u w:val="single"/>
          </w:rPr>
          <w:t>[2]</w:t>
        </w:r>
      </w:hyperlink>
      <w:hyperlink r:id="rId11">
        <w:r>
          <w:rPr>
            <w:color w:val="0000EE"/>
            <w:u w:val="single"/>
          </w:rPr>
          <w:t>[4]</w:t>
        </w:r>
      </w:hyperlink>
      <w:r/>
    </w:p>
    <w:p>
      <w:r/>
      <w:r>
        <w:t xml:space="preserve">That move sits inside a broader trend of vertically focused fintechs attacking niche liquidity problems. Billd’s approach, extending working capital against material and labour costs and codifying payment predictability with general contractors, reflects industry data on construction’s chronic receivables timing issues and the value of bespoke credit products for overlooked SME segments. The company claims this model helps subcontractors perform more reliably on complex builds. </w:t>
      </w:r>
      <w:hyperlink r:id="rId10">
        <w:r>
          <w:rPr>
            <w:color w:val="0000EE"/>
            <w:u w:val="single"/>
          </w:rPr>
          <w:t>[2]</w:t>
        </w:r>
      </w:hyperlink>
      <w:hyperlink r:id="rId11">
        <w:r>
          <w:rPr>
            <w:color w:val="0000EE"/>
            <w:u w:val="single"/>
          </w:rPr>
          <w:t>[4]</w:t>
        </w:r>
      </w:hyperlink>
      <w:r/>
    </w:p>
    <w:p>
      <w:r/>
      <w:r>
        <w:t xml:space="preserve">On the business‑services front, Lettuce Financial’s $28 million raise and acquisition of benefits startup Besolo signal consolidation of a one‑stop operating system for solopreneurs. The funding will expand soloOS, an AI‑powered suite that bundles accounting, payroll, benefits and tax compliance for higher‑earning independent professionals, physicians, consultants and creators, who increasingly demand integrated, enterprise‑grade infrastructure for single‑person businesses. The company also appointed industry veteran Molly Loftus as an adviser to deepen its benefits and actuarial capabilities. Industry research cited in the original coverage points to a sharp rise in self‑employed professionals earning six‑figure incomes, reinforcing the market opportunity. </w:t>
      </w:r>
      <w:hyperlink r:id="rId12">
        <w:r>
          <w:rPr>
            <w:color w:val="0000EE"/>
            <w:u w:val="single"/>
          </w:rPr>
          <w:t>[3]</w:t>
        </w:r>
      </w:hyperlink>
      <w:hyperlink r:id="rId9">
        <w:r>
          <w:rPr>
            <w:color w:val="0000EE"/>
            <w:u w:val="single"/>
          </w:rPr>
          <w:t>[1]</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Beyond feature breadth, Lettuce’s playbook mixes productised advice and compliance tooling, step‑by‑step payroll guides, tax best practices and retirement planning resources, to reduce the operational friction that often forces solopreneurs to cobble together multiple vendors. The acquisition of Besolo and the advisor hire indicate a push to translate platform scale into broader healthcare and benefits access, an area where incumbents have historically under‑served single‑person businesses. </w:t>
      </w:r>
      <w:hyperlink r:id="rId12">
        <w:r>
          <w:rPr>
            <w:color w:val="0000EE"/>
            <w:u w:val="single"/>
          </w:rPr>
          <w:t>[3]</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Enterprises wrestling with generative AI adoption are producing a parallel category of infrastructure: governance and observability platforms. Portal26’s $9 million Series A, led by Shasta Ventures, funds an adoption management product that promises visibility into Shadow AI, policy enforcement, forensic auditing and employee education. The company positions itself as the operational layer that lets regulated organisations deploy generative models while quantifying and managing attendant risks. According to the report, Portal26’s platform is intended to help organisations detect unsanctioned model use and maintain audit trails during rapid AI experimentation. </w:t>
      </w:r>
      <w:hyperlink r:id="rId9">
        <w:r>
          <w:rPr>
            <w:color w:val="0000EE"/>
            <w:u w:val="single"/>
          </w:rPr>
          <w:t>[1]</w:t>
        </w:r>
      </w:hyperlink>
      <w:hyperlink r:id="rId12">
        <w:r>
          <w:rPr>
            <w:color w:val="0000EE"/>
            <w:u w:val="single"/>
          </w:rPr>
          <w:t>[3]</w:t>
        </w:r>
      </w:hyperlink>
      <w:r/>
    </w:p>
    <w:p>
      <w:r/>
      <w:r>
        <w:t xml:space="preserve">That capability is becoming a de‑risking prerequisite for many financial and regulated customers, as firms confront both operational surprises and evolving compliance expectations. The Portal26 raise follows earlier seed capital and reflects investor appetite for tooling that sits between model vendors and enterprise risk functions, measuring impact, enforcing guardrails, and producing evidence for auditors and boards. </w:t>
      </w:r>
      <w:hyperlink r:id="rId12">
        <w:r>
          <w:rPr>
            <w:color w:val="0000EE"/>
            <w:u w:val="single"/>
          </w:rPr>
          <w:t>[3]</w:t>
        </w:r>
      </w:hyperlink>
      <w:r/>
    </w:p>
    <w:p>
      <w:r/>
      <w:r>
        <w:t xml:space="preserve">On the crypto and blockchain frontier, CMT Digital’s close of a $136 million Fund IV underscores institutional confidence in infrastructure that supports the next phase of digital‑asset adoption. The firm frames Fund IV as a continuation of a decade‑long thesis: from establishing access and on‑chain rails to expanding utility and now "re‑architecting finance" with blockchain‑native infrastructure for global markets. The fund’s stated investments span wallets, on‑chain credit, data rails and market infrastructure that aim to make digital assets interoperable with institutional flows as regulatory frameworks crystallise. </w:t>
      </w:r>
      <w:hyperlink r:id="rId9">
        <w:r>
          <w:rPr>
            <w:color w:val="0000EE"/>
            <w:u w:val="single"/>
          </w:rPr>
          <w:t>[1]</w:t>
        </w:r>
      </w:hyperlink>
      <w:r/>
    </w:p>
    <w:p>
      <w:r/>
      <w:r>
        <w:t xml:space="preserve">These deals sit alongside a broader financing backdrop in which specialised security, AI‑native protection and regional payments infrastructure are also attracting capital, signals that investors are underwriting enterprise risk tooling, agentic data security, and cross‑border rails as complementary layers to the financial and identity stacks. The ecosystem view suggests founders are betting that durable value will accrue to companies that reduce friction, measurably lower operational risk, and enable compliant scale. </w:t>
      </w:r>
      <w:hyperlink r:id="rId9">
        <w:r>
          <w:rPr>
            <w:color w:val="0000EE"/>
            <w:u w:val="single"/>
          </w:rPr>
          <w:t>[1]</w:t>
        </w:r>
      </w:hyperlink>
      <w:hyperlink r:id="rId10">
        <w:r>
          <w:rPr>
            <w:color w:val="0000EE"/>
            <w:u w:val="single"/>
          </w:rPr>
          <w:t>[2]</w:t>
        </w:r>
      </w:hyperlink>
      <w:hyperlink r:id="rId12">
        <w:r>
          <w:rPr>
            <w:color w:val="0000EE"/>
            <w:u w:val="single"/>
          </w:rPr>
          <w:t>[3]</w:t>
        </w:r>
      </w:hyperlink>
      <w:r/>
    </w:p>
    <w:p>
      <w:r/>
      <w:r>
        <w:t xml:space="preserve">The original feature also included a Q&amp;A with Irene Hernandez of Gataca on digital identity, a reminder that identity remains a foundational layer for many of these use cases. According to the interview, Gataca’s focus on ID Wallets seeks to make identity verification less costly and more privacy‑preserving while meeting compliance demands in regulated industries. Hernandez traced the company’s origins to research at MIT and positioned its product as the missing trust layer online, one that can underpin everything from contractor onboarding and benefits enrolment to secure AI model access and crypto custody flows. </w:t>
      </w:r>
      <w:hyperlink r:id="rId9">
        <w:r>
          <w:rPr>
            <w:color w:val="0000EE"/>
            <w:u w:val="single"/>
          </w:rPr>
          <w:t>[1]</w:t>
        </w:r>
      </w:hyperlink>
      <w:r/>
    </w:p>
    <w:p>
      <w:r/>
      <w:r>
        <w:t xml:space="preserve">Taken together, this week’s highlights portray an investor and founder mindset oriented to infrastructure: targeted financial products for hard‑to‑serve commercial segments, integrated operating systems for a growing class of high‑earning independents, governance stacks for enterprise AI, and foundational blockchain rails. The common thread is practical interoperability, tools that reduce operational complexity and produce auditable outcomes for customers, partners and regulators as markets evolve. </w:t>
      </w:r>
      <w:hyperlink r:id="rId9">
        <w:r>
          <w:rPr>
            <w:color w:val="0000EE"/>
            <w:u w:val="single"/>
          </w:rPr>
          <w:t>[1]</w:t>
        </w:r>
      </w:hyperlink>
      <w:hyperlink r:id="rId10">
        <w:r>
          <w:rPr>
            <w:color w:val="0000EE"/>
            <w:u w:val="single"/>
          </w:rPr>
          <w:t>[2]</w:t>
        </w:r>
      </w:hyperlink>
      <w:hyperlink r:id="rId12">
        <w:r>
          <w:rPr>
            <w:color w:val="0000EE"/>
            <w:u w:val="single"/>
          </w:rPr>
          <w:t>[3]</w:t>
        </w:r>
      </w:hyperlink>
      <w:hyperlink r:id="rId11">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(FintechForum) - Paragraph 1, Paragraph 5, Paragraph 9 </w:t>
      </w:r>
      <w:r/>
    </w:p>
    <w:p>
      <w:pPr>
        <w:pStyle w:val="ListBullet"/>
        <w:spacing w:line="240" w:lineRule="auto"/>
        <w:ind w:left="720"/>
      </w:pPr>
      <w:r/>
      <w:hyperlink r:id="rId10">
        <w:r>
          <w:rPr>
            <w:color w:val="0000EE"/>
            <w:u w:val="single"/>
          </w:rPr>
          <w:t>[2]</w:t>
        </w:r>
      </w:hyperlink>
      <w:r>
        <w:t xml:space="preserve"> (PR Newswire) - Paragraph 2, Paragraph 3 </w:t>
      </w:r>
      <w:r/>
    </w:p>
    <w:p>
      <w:pPr>
        <w:pStyle w:val="ListBullet"/>
        <w:spacing w:line="240" w:lineRule="auto"/>
        <w:ind w:left="720"/>
      </w:pPr>
      <w:r/>
      <w:hyperlink r:id="rId11">
        <w:r>
          <w:rPr>
            <w:color w:val="0000EE"/>
            <w:u w:val="single"/>
          </w:rPr>
          <w:t>[4]</w:t>
        </w:r>
      </w:hyperlink>
      <w:r>
        <w:t xml:space="preserve"> (PR Newswire) - Paragraph 2, Paragraph 3 </w:t>
      </w:r>
      <w:r/>
    </w:p>
    <w:p>
      <w:pPr>
        <w:pStyle w:val="ListBullet"/>
        <w:spacing w:line="240" w:lineRule="auto"/>
        <w:ind w:left="720"/>
      </w:pPr>
      <w:r/>
      <w:hyperlink r:id="rId12">
        <w:r>
          <w:rPr>
            <w:color w:val="0000EE"/>
            <w:u w:val="single"/>
          </w:rPr>
          <w:t>[3]</w:t>
        </w:r>
      </w:hyperlink>
      <w:r>
        <w:t xml:space="preserve"> (Forbes) - Paragraph 4, Paragraph 5, Paragraph 7 </w:t>
      </w:r>
      <w:r/>
    </w:p>
    <w:p>
      <w:pPr>
        <w:pStyle w:val="ListBullet"/>
        <w:spacing w:line="240" w:lineRule="auto"/>
        <w:ind w:left="720"/>
      </w:pPr>
      <w:r/>
      <w:hyperlink r:id="rId13">
        <w:r>
          <w:rPr>
            <w:color w:val="0000EE"/>
            <w:u w:val="single"/>
          </w:rPr>
          <w:t>[5]</w:t>
        </w:r>
      </w:hyperlink>
      <w:r>
        <w:t xml:space="preserve"> (Lettuce) - Paragraph 4, Paragraph 5 </w:t>
      </w:r>
      <w:r/>
    </w:p>
    <w:p>
      <w:pPr>
        <w:pStyle w:val="ListBullet"/>
        <w:spacing w:line="240" w:lineRule="auto"/>
        <w:ind w:left="720"/>
      </w:pPr>
      <w:r/>
      <w:hyperlink r:id="rId14">
        <w:r>
          <w:rPr>
            <w:color w:val="0000EE"/>
            <w:u w:val="single"/>
          </w:rPr>
          <w:t>[6]</w:t>
        </w:r>
      </w:hyperlink>
      <w:r>
        <w:t xml:space="preserve"> (Lettuce) - Paragraph 4, Paragraph 5 </w:t>
      </w:r>
      <w:r/>
    </w:p>
    <w:p>
      <w:pPr>
        <w:pStyle w:val="ListBullet"/>
        <w:spacing w:line="240" w:lineRule="auto"/>
        <w:ind w:left="720"/>
      </w:pPr>
      <w:r/>
      <w:hyperlink r:id="rId15">
        <w:r>
          <w:rPr>
            <w:color w:val="0000EE"/>
            <w:u w:val="single"/>
          </w:rPr>
          <w:t>[7]</w:t>
        </w:r>
      </w:hyperlink>
      <w:r>
        <w:t xml:space="preserve"> (Lettuce) - Paragraph 4,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http://www.fintechforum.de/deal-highlights-billd-lettuce-portal26-and-cmt-digital-plus-a-qa-with-gatacas-irene-hernandez-in-the-future-of-identity/</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https://www.prnewswire.com/news-releases/billd-secures-strategic-investment-to-accelerate-launch-of-new-early-pay-programs-302604760.html</w:t>
        </w:r>
      </w:hyperlink>
      <w:r>
        <w:t xml:space="preserve"> - Billd, a leading provider of financial solutions for commercial subcontractors, has secured $7.3 million in strategic funding. The investment, led by MissionOG with participation from HighSage Ventures and RJT Credit, aims to accelerate the development and launch of additional capital solutions, including Predictable Pay. This early pay program, developed in collaboration with general contractors, provides subcontractors with faster, more predictable payments, addressing cash flow instability—a significant challenge in the construction sector. The initiative seeks to empower subcontractors to perform optimally by enhancing financial stability.</w:t>
      </w:r>
      <w:r/>
    </w:p>
    <w:p>
      <w:pPr>
        <w:pStyle w:val="ListNumber"/>
        <w:spacing w:line="240" w:lineRule="auto"/>
        <w:ind w:left="720"/>
      </w:pPr>
      <w:r/>
      <w:hyperlink r:id="rId12">
        <w:r>
          <w:rPr>
            <w:color w:val="0000EE"/>
            <w:u w:val="single"/>
          </w:rPr>
          <w:t>https://www.forbes.com/sites/elainepofeldt/2025/10/30/lettuce-financial-a-fin-tech-platform-targeting-solopreneurs-raises-28-million-and-acquires-a-benefits-startup/</w:t>
        </w:r>
      </w:hyperlink>
      <w:r>
        <w:t xml:space="preserve"> - Lettuce Financial, a San Francisco-based fintech platform catering to solopreneurs, has raised an additional $28 million to expand its AI-powered operating system, soloOS. The platform offers self-employed professionals integrated solutions for accounting, payroll, benefits, and tax compliance. In conjunction with the funding, Lettuce acquired Besolo, a benefits startup, to enhance healthcare options for its subscribers. The company also appointed Molly Loftus, formerly of Cigna and Mercer, as an advisor, aiming to strengthen its offerings for independent professionals seeking comprehensive financial management tools.</w:t>
      </w:r>
      <w:r/>
    </w:p>
    <w:p>
      <w:pPr>
        <w:pStyle w:val="ListNumber"/>
        <w:spacing w:line="240" w:lineRule="auto"/>
        <w:ind w:left="720"/>
      </w:pPr>
      <w:r/>
      <w:hyperlink r:id="rId11">
        <w:r>
          <w:rPr>
            <w:color w:val="0000EE"/>
            <w:u w:val="single"/>
          </w:rPr>
          <w:t>https://www.prnewswire.com/news-releases/billd-launches-predictable-pay-with-general-contractors-establishing-a-new-payment-standard-in-construction-302563544.html</w:t>
        </w:r>
      </w:hyperlink>
      <w:r>
        <w:t xml:space="preserve"> - Billd has introduced Predictable Pay, an early pay program developed in collaboration with general contractors. This initiative aims to improve cash flow and liquidity for subcontractors by providing access to faster, more predictable payments. The program is designed to align the interests of general contractors and subcontractors, enhancing project performance and reducing risks. By offering predictable payments, Billd seeks to establish a new standard in the construction industry, addressing longstanding payment challenges and fostering stronger partnerships between contractors and subcontractors.</w:t>
      </w:r>
      <w:r/>
    </w:p>
    <w:p>
      <w:pPr>
        <w:pStyle w:val="ListNumber"/>
        <w:spacing w:line="240" w:lineRule="auto"/>
        <w:ind w:left="720"/>
      </w:pPr>
      <w:r/>
      <w:hyperlink r:id="rId13">
        <w:r>
          <w:rPr>
            <w:color w:val="0000EE"/>
            <w:u w:val="single"/>
          </w:rPr>
          <w:t>https://lettuce.co/resources/how-to-setup-payroll</w:t>
        </w:r>
      </w:hyperlink>
      <w:r>
        <w:t xml:space="preserve"> - This guide provides solopreneurs with a step-by-step approach to setting up payroll for an S Corporation (S Corp). It outlines the necessary state payroll accounts for income tax withholding and unemployment insurance, emphasising the importance of a dedicated business bank account to maintain clear financial records. The guide also details the process of correctly classifying oneself and any workers, highlighting the dual role of S Corp owners as both employees and shareholders, and the requirement to pay oneself a W-2 salary while taking distributions from remaining profits.</w:t>
      </w:r>
      <w:r/>
    </w:p>
    <w:p>
      <w:pPr>
        <w:pStyle w:val="ListNumber"/>
        <w:spacing w:line="240" w:lineRule="auto"/>
        <w:ind w:left="720"/>
      </w:pPr>
      <w:r/>
      <w:hyperlink r:id="rId14">
        <w:r>
          <w:rPr>
            <w:color w:val="0000EE"/>
            <w:u w:val="single"/>
          </w:rPr>
          <w:t>https://lettuce.co/resources/seven-financial-mistakes-freelancers-make</w:t>
        </w:r>
      </w:hyperlink>
      <w:r>
        <w:t xml:space="preserve"> - This resource highlights seven common financial mistakes made by freelancers and solopreneurs, offering guidance on how to avoid them. Key mistakes include neglecting quarterly tax payments, misclassifying business expenses, and failing to plan for retirement. The guide provides practical advice on calculating estimated taxes, maintaining accurate financial records, and setting aside funds for taxes in advance. It also emphasises the importance of proactive financial planning to ensure long-term business sustainability and growth, encouraging solopreneurs to seek professional advice when necessary.</w:t>
      </w:r>
      <w:r/>
    </w:p>
    <w:p>
      <w:pPr>
        <w:pStyle w:val="ListNumber"/>
        <w:spacing w:line="240" w:lineRule="auto"/>
        <w:ind w:left="720"/>
      </w:pPr>
      <w:r/>
      <w:hyperlink r:id="rId15">
        <w:r>
          <w:rPr>
            <w:color w:val="0000EE"/>
            <w:u w:val="single"/>
          </w:rPr>
          <w:t>https://lettuce.co/</w:t>
        </w:r>
      </w:hyperlink>
      <w:r>
        <w:t xml:space="preserve"> - Lettuce Financial is a fintech platform designed to simplify financial management for solopreneurs. It offers integrated solutions for accounting, payroll, benefits, and tax compliance, aiming to optimise tax structures and improve financial stability for self-employed professionals. The platform provides tools to automate bookkeeping, manage expenses, and ensure compliance with tax regulations. Lettuce Financial also offers educational resources and personalised support to help solopreneurs make informed financial decisions, ultimately enhancing profitability and business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fintechforum.de/deal-highlights-billd-lettuce-portal26-and-cmt-digital-plus-a-qa-with-gatacas-irene-hernandez-in-the-future-of-identity/" TargetMode="External"/><Relationship Id="rId10" Type="http://schemas.openxmlformats.org/officeDocument/2006/relationships/hyperlink" Target="https://www.prnewswire.com/news-releases/billd-secures-strategic-investment-to-accelerate-launch-of-new-early-pay-programs-302604760.html" TargetMode="External"/><Relationship Id="rId11" Type="http://schemas.openxmlformats.org/officeDocument/2006/relationships/hyperlink" Target="https://www.prnewswire.com/news-releases/billd-launches-predictable-pay-with-general-contractors-establishing-a-new-payment-standard-in-construction-302563544.html" TargetMode="External"/><Relationship Id="rId12" Type="http://schemas.openxmlformats.org/officeDocument/2006/relationships/hyperlink" Target="https://www.forbes.com/sites/elainepofeldt/2025/10/30/lettuce-financial-a-fin-tech-platform-targeting-solopreneurs-raises-28-million-and-acquires-a-benefits-startup/" TargetMode="External"/><Relationship Id="rId13" Type="http://schemas.openxmlformats.org/officeDocument/2006/relationships/hyperlink" Target="https://lettuce.co/resources/how-to-setup-payroll" TargetMode="External"/><Relationship Id="rId14" Type="http://schemas.openxmlformats.org/officeDocument/2006/relationships/hyperlink" Target="https://lettuce.co/resources/seven-financial-mistakes-freelancers-make" TargetMode="External"/><Relationship Id="rId15" Type="http://schemas.openxmlformats.org/officeDocument/2006/relationships/hyperlink" Target="https://lettuce.c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