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redefine financial services as tech, regulation, and sustainability collide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 banking ecosystem faces a year of profound change in 2026 as institutions confront an uneasy combination of technological promise and structural inertia. According to the original report, much of the industry’s difficulty will stem from an inability to move beyond superficial uses of artificial intelligence, with legacy technology stacks and poor data quality preventing many incumbent firms from delivering material AI returns. Industry commentary suggests that without deep transformation of data architectures and team mindsets, talk of “AI‑native” or agentic banks will remain aspirational rather than operational. </w:t>
      </w:r>
      <w:hyperlink r:id="rId9">
        <w:r>
          <w:rPr>
            <w:color w:val="0000EE"/>
            <w:u w:val="single"/>
          </w:rPr>
          <w:t>[1]</w:t>
        </w:r>
      </w:hyperlink>
      <w:r/>
    </w:p>
    <w:p>
      <w:r/>
      <w:r>
        <w:t xml:space="preserve">Smaller, more flexible fintechs and challenger banks are already demonstrating a different trajectory. The original report notes these firms, with real‑time data access and modern technology foundations, have begun embedding AI into core business models to extract genuine value rather than using the technology as a generic “hammer without a nail”. That gap between agile newcomers and monolithic incumbents mirrors wider industry analysis which identifies incompatible data formats and legacy systems as the principal obstacles slowing AI adoption across financial services. </w:t>
      </w:r>
      <w:hyperlink r:id="rId9">
        <w:r>
          <w:rPr>
            <w:color w:val="0000EE"/>
            <w:u w:val="single"/>
          </w:rPr>
          <w:t>[1]</w:t>
        </w:r>
      </w:hyperlink>
      <w:hyperlink r:id="rId10">
        <w:r>
          <w:rPr>
            <w:color w:val="0000EE"/>
            <w:u w:val="single"/>
          </w:rPr>
          <w:t>[2]</w:t>
        </w:r>
      </w:hyperlink>
      <w:r/>
    </w:p>
    <w:p>
      <w:r/>
      <w:r>
        <w:t xml:space="preserve">The shift in software engineering is central to that divergence. The original report argues that AI‑native engineering will expand what individual developers and teams can achieve , turning “10x engineers” into “100x engineers” , by integrating AI across the software development lifecycle, from product planning through deployment and testing. Industry observers warn this will bring both huge productivity gains and fresh operational risk, particularly in regulated environments where rapid model evolution must be carefully constrained. “The ability to predict where AI capabilities will be in 6–12 months will become a critical part of the product management process,” the report states. </w:t>
      </w:r>
      <w:hyperlink r:id="rId9">
        <w:r>
          <w:rPr>
            <w:color w:val="0000EE"/>
            <w:u w:val="single"/>
          </w:rPr>
          <w:t>[1]</w:t>
        </w:r>
      </w:hyperlink>
      <w:r/>
    </w:p>
    <w:p>
      <w:r/>
      <w:r>
        <w:t xml:space="preserve">Yet the same AI advances that empower defenders will also amplify the capabilities of bad actors, increasing the need for stronger defensive tooling and regulatory clarity. The original report and sector commentators emphasise that firms must identify suitable, high‑value use cases for AI rather than treating it as an end in itself, and that modern SDLC tooling will need to evolve to support secure, explainable AI in production. Regulatory concerns about explainability and integration with legacy systems will persist as a brake on rapid, unchecked deployment. </w:t>
      </w:r>
      <w:hyperlink r:id="rId9">
        <w:r>
          <w:rPr>
            <w:color w:val="0000EE"/>
            <w:u w:val="single"/>
          </w:rPr>
          <w:t>[1]</w:t>
        </w:r>
      </w:hyperlink>
      <w:hyperlink r:id="rId11">
        <w:r>
          <w:rPr>
            <w:color w:val="0000EE"/>
            <w:u w:val="single"/>
          </w:rPr>
          <w:t>[5]</w:t>
        </w:r>
      </w:hyperlink>
      <w:r/>
    </w:p>
    <w:p>
      <w:r/>
      <w:r>
        <w:t xml:space="preserve">Payments are a second axis of disruption. The original report predicts stablecoins will accelerate cross‑border payments by offering near‑instant settlement and lower costs; independent research supports that view, with analyses showing stablecoins can cut settlement times from days to seconds and reduce transaction costs by up to 99% compared with correspondent banking. Investment banks also forecast that stablecoins will displace legacy B2B payment rails as adoption consolidates around a small number of dominant tokens. For innovators , whether corporate treasuries or nation states , the incentives to move are strong. </w:t>
      </w:r>
      <w:hyperlink r:id="rId9">
        <w:r>
          <w:rPr>
            <w:color w:val="0000EE"/>
            <w:u w:val="single"/>
          </w:rPr>
          <w:t>[1]</w:t>
        </w:r>
      </w:hyperlink>
      <w:hyperlink r:id="rId12">
        <w:r>
          <w:rPr>
            <w:color w:val="0000EE"/>
            <w:u w:val="single"/>
          </w:rPr>
          <w:t>[3]</w:t>
        </w:r>
      </w:hyperlink>
      <w:hyperlink r:id="rId13">
        <w:r>
          <w:rPr>
            <w:color w:val="0000EE"/>
            <w:u w:val="single"/>
          </w:rPr>
          <w:t>[4]</w:t>
        </w:r>
      </w:hyperlink>
      <w:r/>
    </w:p>
    <w:p>
      <w:r/>
      <w:r>
        <w:t xml:space="preserve">Still, the rise of stablecoins carries systemic and policy risks that will shape adoption. The European Central Bank has warned that widespread stablecoin use could siphon deposits from euro‑area banks and increase financial instability, and regulators will be alert to potential runs and the implications for bank funding. At the same time, a consortium of major European banks has announced plans to launch a euro‑backed stablecoin company, signalling incumbents’ desire to shape a regulated, competitive digital payments alternative; that project aims for a second‑half‑2026 launch. The result is likely to be geographic divergence: jurisdictions that combine clear governance with modern infrastructure will lead, while those constrained by monolithic legacy tech and slow policy frameworks risk falling further behind. </w:t>
      </w:r>
      <w:hyperlink r:id="rId14">
        <w:r>
          <w:rPr>
            <w:color w:val="0000EE"/>
            <w:u w:val="single"/>
          </w:rPr>
          <w:t>[6]</w:t>
        </w:r>
      </w:hyperlink>
      <w:hyperlink r:id="rId15">
        <w:r>
          <w:rPr>
            <w:color w:val="0000EE"/>
            <w:u w:val="single"/>
          </w:rPr>
          <w:t>[7]</w:t>
        </w:r>
      </w:hyperlink>
      <w:hyperlink r:id="rId9">
        <w:r>
          <w:rPr>
            <w:color w:val="0000EE"/>
            <w:u w:val="single"/>
          </w:rPr>
          <w:t>[1]</w:t>
        </w:r>
      </w:hyperlink>
      <w:r/>
    </w:p>
    <w:p>
      <w:r/>
      <w:r>
        <w:t xml:space="preserve">Sustainability is being pulled back onto the agenda by both supervisory pressure and shifting market expectations. The original report argues that, after a period in which some banks retreated from ambitious net‑zero commitments, 2026 will see renewed demands from regulators such as the European Central Bank to deliver on sustainability and inclusion objectives. That trend is compounded by climate‑sensitive lending practices and the growing use of embedded green finance , for example, agricultural climate loans and microfunds in regions such as Africa , which illustrate both the risk and opportunity for banks that align capital with climate resilience. “Sustainability must become a core consideration for banks,” the report warns, noting that climate factors are increasingly applied to lending to penalise exposure to acute climate risk. </w:t>
      </w:r>
      <w:hyperlink r:id="rId9">
        <w:r>
          <w:rPr>
            <w:color w:val="0000EE"/>
            <w:u w:val="single"/>
          </w:rPr>
          <w:t>[1]</w:t>
        </w:r>
      </w:hyperlink>
      <w:r/>
    </w:p>
    <w:p>
      <w:r/>
      <w:r>
        <w:t xml:space="preserve">Taken together, these dynamics paint 2026 as a make‑or‑break year for many financial institutions. Those that can modernise data infrastructure, embed AI thoughtfully into products and engineering workflows, and engage proactively with the regulatory and market shifts around stablecoins and sustainability are well‑positioned to lead. Others, hamstrung by legacy systems, fragmented data and short‑term pressures, risk ceding ground to faster, more ambitious competitors and to new entrants that convert technological possibility into everyday financial services.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(Finextra / SaaScada blog posting)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(Forbes) - Paragraph 2, Paragraph 8 </w:t>
      </w:r>
      <w:r/>
    </w:p>
    <w:p>
      <w:pPr>
        <w:pStyle w:val="ListBullet"/>
        <w:spacing w:line="240" w:lineRule="auto"/>
        <w:ind w:left="720"/>
      </w:pPr>
      <w:r/>
      <w:hyperlink r:id="rId12">
        <w:r>
          <w:rPr>
            <w:color w:val="0000EE"/>
            <w:u w:val="single"/>
          </w:rPr>
          <w:t>[3]</w:t>
        </w:r>
      </w:hyperlink>
      <w:r>
        <w:t xml:space="preserve"> (CoinDesk / KPMG analysis) - Paragraph 6, Paragraph 8 </w:t>
      </w:r>
      <w:r/>
    </w:p>
    <w:p>
      <w:pPr>
        <w:pStyle w:val="ListBullet"/>
        <w:spacing w:line="240" w:lineRule="auto"/>
        <w:ind w:left="720"/>
      </w:pPr>
      <w:r/>
      <w:hyperlink r:id="rId13">
        <w:r>
          <w:rPr>
            <w:color w:val="0000EE"/>
            <w:u w:val="single"/>
          </w:rPr>
          <w:t>[4]</w:t>
        </w:r>
      </w:hyperlink>
      <w:r>
        <w:t xml:space="preserve"> (CoinDesk / William Blair) - Paragraph 6 </w:t>
      </w:r>
      <w:r/>
    </w:p>
    <w:p>
      <w:pPr>
        <w:pStyle w:val="ListBullet"/>
        <w:spacing w:line="240" w:lineRule="auto"/>
        <w:ind w:left="720"/>
      </w:pPr>
      <w:r/>
      <w:hyperlink r:id="rId11">
        <w:r>
          <w:rPr>
            <w:color w:val="0000EE"/>
            <w:u w:val="single"/>
          </w:rPr>
          <w:t>[5]</w:t>
        </w:r>
      </w:hyperlink>
      <w:r>
        <w:t xml:space="preserve"> (Fintech Futures / Sibos 2025 coverage) - Paragraph 4 </w:t>
      </w:r>
      <w:r/>
    </w:p>
    <w:p>
      <w:pPr>
        <w:pStyle w:val="ListBullet"/>
        <w:spacing w:line="240" w:lineRule="auto"/>
        <w:ind w:left="720"/>
      </w:pPr>
      <w:r/>
      <w:hyperlink r:id="rId14">
        <w:r>
          <w:rPr>
            <w:color w:val="0000EE"/>
            <w:u w:val="single"/>
          </w:rPr>
          <w:t>[6]</w:t>
        </w:r>
      </w:hyperlink>
      <w:r>
        <w:t xml:space="preserve"> (Reuters / ECB warning) - Paragraph 7, Paragraph 8 </w:t>
      </w:r>
      <w:r/>
    </w:p>
    <w:p>
      <w:pPr>
        <w:pStyle w:val="ListBullet"/>
        <w:spacing w:line="240" w:lineRule="auto"/>
        <w:ind w:left="720"/>
      </w:pPr>
      <w:r/>
      <w:hyperlink r:id="rId15">
        <w:r>
          <w:rPr>
            <w:color w:val="0000EE"/>
            <w:u w:val="single"/>
          </w:rPr>
          <w:t>[7]</w:t>
        </w:r>
      </w:hyperlink>
      <w:r>
        <w:t xml:space="preserve"> (Reuters / qivalis consortium report)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https://www.finextra.com/blogposting/30239/saascadas-2026-fintech-predictions?utm_medium=rssfinextra&amp;utm_source=finextrablogs</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https://www.forbes.com/councils/forbestechcouncil/2024/12/26/three-challenges-stalling-ai-implementation-in-the-financial-sector/</w:t>
        </w:r>
      </w:hyperlink>
      <w:r>
        <w:t xml:space="preserve"> - This Forbes article discusses the challenges hindering AI implementation in the financial sector, including legacy systems, incompatible data formats, and the technological divide between large institutions and smaller banks. It highlights how these issues impede AI's potential in customer personalization and risk analytics, emphasizing the need for modernization to fully leverage AI capabilities.</w:t>
      </w:r>
      <w:r/>
    </w:p>
    <w:p>
      <w:pPr>
        <w:pStyle w:val="ListNumber"/>
        <w:spacing w:line="240" w:lineRule="auto"/>
        <w:ind w:left="720"/>
      </w:pPr>
      <w:r/>
      <w:hyperlink r:id="rId12">
        <w:r>
          <w:rPr>
            <w:color w:val="0000EE"/>
            <w:u w:val="single"/>
          </w:rPr>
          <w:t>https://www.coindesk.com/markets/2025/10/16/stablecoins-can-cut-cross-border-payments-cost-by-99-kpmg-says</w:t>
        </w:r>
      </w:hyperlink>
      <w:r>
        <w:t xml:space="preserve"> - A KPMG report reveals that stablecoins can reduce cross-border payment settlement times from days to seconds and lower transaction costs by up to 99%. The report highlights the inefficiencies of traditional correspondent banking networks and the potential of stablecoin technology to streamline international transactions, citing early adoption by institutions like JPMorgan and PayPal.</w:t>
      </w:r>
      <w:r/>
    </w:p>
    <w:p>
      <w:pPr>
        <w:pStyle w:val="ListNumber"/>
        <w:spacing w:line="240" w:lineRule="auto"/>
        <w:ind w:left="720"/>
      </w:pPr>
      <w:r/>
      <w:hyperlink r:id="rId13">
        <w:r>
          <w:rPr>
            <w:color w:val="0000EE"/>
            <w:u w:val="single"/>
          </w:rPr>
          <w:t>https://www.coindesk.com/markets/2025/10/15/stablecoins-will-disrupt-cross-border-payments-investment-bank-william-blair-says</w:t>
        </w:r>
      </w:hyperlink>
      <w:r>
        <w:t xml:space="preserve"> - Investment bank William Blair predicts that stablecoins will disrupt cross-border payments by replacing legacy B2B payment systems with faster, cheaper, and more efficient transactions. The report suggests that companies like Circle and Coinbase are well-positioned to benefit from this shift, as stablecoin adoption is expected to consolidate around a few dominant tokens like USDC.</w:t>
      </w:r>
      <w:r/>
    </w:p>
    <w:p>
      <w:pPr>
        <w:pStyle w:val="ListNumber"/>
        <w:spacing w:line="240" w:lineRule="auto"/>
        <w:ind w:left="720"/>
      </w:pPr>
      <w:r/>
      <w:hyperlink r:id="rId11">
        <w:r>
          <w:rPr>
            <w:color w:val="0000EE"/>
            <w:u w:val="single"/>
          </w:rPr>
          <w:t>https://www.fintechfutures.com/ai-in-fintech/sibos-2025-ai-is-already-disrupting-financial-services-but-theres-more-to-come</w:t>
        </w:r>
      </w:hyperlink>
      <w:r>
        <w:t xml:space="preserve"> - This article explores the impact of AI on the financial services sector, noting advancements in decision-making processes such as credit scoring and fraud detection. However, it also highlights challenges like regulatory concerns, explainability, and integration with legacy systems, which hinder AI's full potential in the industry.</w:t>
      </w:r>
      <w:r/>
    </w:p>
    <w:p>
      <w:pPr>
        <w:pStyle w:val="ListNumber"/>
        <w:spacing w:line="240" w:lineRule="auto"/>
        <w:ind w:left="720"/>
      </w:pPr>
      <w:r/>
      <w:hyperlink r:id="rId14">
        <w:r>
          <w:rPr>
            <w:color w:val="0000EE"/>
            <w:u w:val="single"/>
          </w:rPr>
          <w:t>https://www.reuters.com/business/finance/stablecoins-could-siphon-off-euro-zone-bank-deposits-ecb-warns-2025-11-24/</w:t>
        </w:r>
      </w:hyperlink>
      <w:r>
        <w:t xml:space="preserve"> - The European Central Bank (ECB) has raised concerns that the growing popularity of stablecoins could divert retail deposits away from euro zone banks, potentially weakening a key funding source and increasing financial instability. The ECB highlighted the risk of a run on these assets and the potential disruption to financial markets.</w:t>
      </w:r>
      <w:r/>
    </w:p>
    <w:p>
      <w:pPr>
        <w:pStyle w:val="ListNumber"/>
        <w:spacing w:line="240" w:lineRule="auto"/>
        <w:ind w:left="720"/>
      </w:pPr>
      <w:r/>
      <w:hyperlink r:id="rId15">
        <w:r>
          <w:rPr>
            <w:color w:val="0000EE"/>
            <w:u w:val="single"/>
          </w:rPr>
          <w:t>https://www.reuters.com/business/finance/group-european-banks-announce-euro-stablecoin-plans-2025-12-02/</w:t>
        </w:r>
      </w:hyperlink>
      <w:r>
        <w:t xml:space="preserve"> - A consortium of 10 major European banks, including ING, UniCredit, and BNP Paribas, has announced the formation of a company named qivalis to launch a euro-backed stablecoin. The initiative aims to provide a European digital payments alternative and challenge U.S. dominance in the cryptocurrency and digital payment sectors, with plans for launch in the second half of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extra.com/blogposting/30239/saascadas-2026-fintech-predictions?utm_medium=rssfinextra&amp;utm_source=finextrablogs" TargetMode="External"/><Relationship Id="rId10" Type="http://schemas.openxmlformats.org/officeDocument/2006/relationships/hyperlink" Target="https://www.forbes.com/councils/forbestechcouncil/2024/12/26/three-challenges-stalling-ai-implementation-in-the-financial-sector/" TargetMode="External"/><Relationship Id="rId11" Type="http://schemas.openxmlformats.org/officeDocument/2006/relationships/hyperlink" Target="https://www.fintechfutures.com/ai-in-fintech/sibos-2025-ai-is-already-disrupting-financial-services-but-theres-more-to-come" TargetMode="External"/><Relationship Id="rId12" Type="http://schemas.openxmlformats.org/officeDocument/2006/relationships/hyperlink" Target="https://www.coindesk.com/markets/2025/10/16/stablecoins-can-cut-cross-border-payments-cost-by-99-kpmg-says" TargetMode="External"/><Relationship Id="rId13" Type="http://schemas.openxmlformats.org/officeDocument/2006/relationships/hyperlink" Target="https://www.coindesk.com/markets/2025/10/15/stablecoins-will-disrupt-cross-border-payments-investment-bank-william-blair-says" TargetMode="External"/><Relationship Id="rId14" Type="http://schemas.openxmlformats.org/officeDocument/2006/relationships/hyperlink" Target="https://www.reuters.com/business/finance/stablecoins-could-siphon-off-euro-zone-bank-deposits-ecb-warns-2025-11-24/" TargetMode="External"/><Relationship Id="rId15" Type="http://schemas.openxmlformats.org/officeDocument/2006/relationships/hyperlink" Target="https://www.reuters.com/business/finance/group-european-banks-announce-euro-stablecoin-plans-2025-12-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