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Agencies position for 2026 as technical SEO and entity authority dominate AI visibility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Search behaviour has shifted decisively toward generative systems, forcing brands to win not just page-one rankings but visibility inside synthesized answers delivered by ChatGPT, Gemini, Perplexity and Google's AI Overviews. According to the original round-up, agencies that specialise in entity clarity, structured data, high-authority content ecosystems and E‑E‑A‑T–style signals are the ones best positioned to teach large language models how to reference a brand. </w:t>
      </w:r>
      <w:hyperlink r:id="rId9">
        <w:r>
          <w:rPr>
            <w:color w:val="0000EE"/>
            <w:u w:val="single"/>
          </w:rPr>
          <w:t>[1]</w:t>
        </w:r>
      </w:hyperlink>
      <w:r/>
    </w:p>
    <w:p>
      <w:r/>
      <w:r>
        <w:t xml:space="preserve">NP Digital is presented as the sector frontrunner, combining large-scale content operations, schema and entity modelling with bespoke audits of how often clients appear inside generative responses. The company claims measurable outcomes: its campaign for auto financier RefiJet produced what NP Digital describes as a 2,012% increase in LLM traffic and a 522% lift in top‑three rankings, results that helped the agency win Best SEO Campaign and Best SEM Campaign at the 2025 OMMA Awards. Industry data from NP Digital's 2025 trends report also finds that 56% of marketers reported traffic increases since Google launched AI Overviews and that only 15% of users stopped clicking through after seeing an Overview, suggesting demand for deeper content remains. </w:t>
      </w:r>
      <w:hyperlink r:id="rId9">
        <w:r>
          <w:rPr>
            <w:color w:val="0000EE"/>
            <w:u w:val="single"/>
          </w:rPr>
          <w:t>[1]</w:t>
        </w:r>
      </w:hyperlink>
      <w:hyperlink r:id="rId10">
        <w:r>
          <w:rPr>
            <w:color w:val="0000EE"/>
            <w:u w:val="single"/>
          </w:rPr>
          <w:t>[3]</w:t>
        </w:r>
      </w:hyperlink>
      <w:hyperlink r:id="rId11">
        <w:r>
          <w:rPr>
            <w:color w:val="0000EE"/>
            <w:u w:val="single"/>
          </w:rPr>
          <w:t>[4]</w:t>
        </w:r>
      </w:hyperlink>
      <w:hyperlink r:id="rId12">
        <w:r>
          <w:rPr>
            <w:color w:val="0000EE"/>
            <w:u w:val="single"/>
          </w:rPr>
          <w:t>[5]</w:t>
        </w:r>
      </w:hyperlink>
      <w:r/>
    </w:p>
    <w:p>
      <w:r/>
      <w:r>
        <w:t xml:space="preserve">iPullRank is highlighted for an engineering‑first approach to "relevance engineering", building content systems and technical frameworks that help models understand site structure, topical relationships and intent. According to the agency's programme materials, its AI Search Strategy Program is led by a relevance engineer, content strategist and marketing data scientist and includes keyword portfolio development, content audits and AI‑search measurement plans; the programme is offered at around $15,000 per month and is positioned for enterprise clients. iPullRank has also amplified the relevance‑engineering message on social platforms, citing broader industry predictions that AI‑mode search will dominate by 2026. </w:t>
      </w:r>
      <w:hyperlink r:id="rId9">
        <w:r>
          <w:rPr>
            <w:color w:val="0000EE"/>
            <w:u w:val="single"/>
          </w:rPr>
          <w:t>[1]</w:t>
        </w:r>
      </w:hyperlink>
      <w:hyperlink r:id="rId13">
        <w:r>
          <w:rPr>
            <w:color w:val="0000EE"/>
            <w:u w:val="single"/>
          </w:rPr>
          <w:t>[2]</w:t>
        </w:r>
      </w:hyperlink>
      <w:hyperlink r:id="rId14">
        <w:r>
          <w:rPr>
            <w:color w:val="0000EE"/>
            <w:u w:val="single"/>
          </w:rPr>
          <w:t>[7]</w:t>
        </w:r>
      </w:hyperlink>
      <w:r/>
    </w:p>
    <w:p>
      <w:r/>
      <w:r>
        <w:t xml:space="preserve">Other specialists on the updated list bring distinct strengths. Seer Interactive focuses on data engineering and bespoke pipelines to measure generative exposure and the impact of AI Overviews; Seer’s analytics‑led programmes are aimed at enterprises that need evidence‑based decisioning. Terakeet concentrates on authority building via long‑form ecosystems and topical hubs tailored for Fortune 500 scale, emphasising entity relationships and domain trust. Siege Media blends creative production and structured optimisation to create research‑backed assets that earn citations and semantic signals helpful to LLMs. </w:t>
      </w:r>
      <w:hyperlink r:id="rId9">
        <w:r>
          <w:rPr>
            <w:color w:val="0000EE"/>
            <w:u w:val="single"/>
          </w:rPr>
          <w:t>[1]</w:t>
        </w:r>
      </w:hyperlink>
      <w:r/>
    </w:p>
    <w:p>
      <w:r/>
      <w:r>
        <w:t xml:space="preserve">Directive Consulting, Amsive and Brainlabs are presented as solution providers that align AI SEO with commercial outcomes and multi‑channel experimentation. Directive targets B2B and SaaS, using predictive analytics and buyer‑stage alignment to turn content into pipeline. Amsive applies audience intelligence across voice, conversational and generative platforms to keep large brands consistent across channels. Brainlabs brings automation, proprietary tooling and rapid testing to coordinate paid, organic and AI discovery at scale. </w:t>
      </w:r>
      <w:hyperlink r:id="rId9">
        <w:r>
          <w:rPr>
            <w:color w:val="0000EE"/>
            <w:u w:val="single"/>
          </w:rPr>
          <w:t>[1]</w:t>
        </w:r>
      </w:hyperlink>
      <w:r/>
    </w:p>
    <w:p>
      <w:r/>
      <w:r>
        <w:t xml:space="preserve">Consumer and ecommerce niches are covered by specialist firms: Stella Rising pairs brand storytelling with structured frameworks for beauty and lifestyle categories where emotional signals matter; Coalition Technologies focuses on ecommerce product schema and feed optimisation to improve appearance in AI product recommendations and buying guides. Searchbloom, uSERP, Victorious and 51Blocks fill other market needs, from SMB‑friendly MERIT workflows and white‑label GEO/AEO fulfilment to earned‑media‑first PR strategies and compliance‑oriented, repeatable processes for regulated industries. </w:t>
      </w:r>
      <w:hyperlink r:id="rId9">
        <w:r>
          <w:rPr>
            <w:color w:val="0000EE"/>
            <w:u w:val="single"/>
          </w:rPr>
          <w:t>[1]</w:t>
        </w:r>
      </w:hyperlink>
      <w:r/>
    </w:p>
    <w:p>
      <w:r/>
      <w:r>
        <w:t xml:space="preserve">Taken together, the landscape described by the original analysis and supporting materials points to a pragmatic evolution of SEO: teams must deliver content that serves both human readers and models used to generate direct answers. According to NP Digital's report, most users still follow links for deeper information, meaning brands that invest in structured authority and clear topical systems can capture both direct AI exposure and traditional organic traffic. </w:t>
      </w:r>
      <w:hyperlink r:id="rId9">
        <w:r>
          <w:rPr>
            <w:color w:val="0000EE"/>
            <w:u w:val="single"/>
          </w:rPr>
          <w:t>[1]</w:t>
        </w:r>
      </w:hyperlink>
      <w:hyperlink r:id="rId11">
        <w:r>
          <w:rPr>
            <w:color w:val="0000EE"/>
            <w:u w:val="single"/>
          </w:rPr>
          <w:t>[4]</w:t>
        </w:r>
      </w:hyperlink>
      <w:r/>
    </w:p>
    <w:p>
      <w:r/>
      <w:r>
        <w:t xml:space="preserve">For marketers choosing an agency, the profiles suggest matching an agency’s core competence to business needs: engineering and custom modelling for enterprises that require precision, data‑science and pipeline measurement for organisations that prioritise analytics, authority building for large brands seeking long‑term recognition, and accessible, process‑driven offerings for SMBs that need predictable execution. The original list underscores that no single tactic suffices; success requires coherent entity work, schema and content systems that make brand information discoverable and citable by generative engines. </w:t>
      </w:r>
      <w:hyperlink r:id="rId9">
        <w:r>
          <w:rPr>
            <w:color w:val="0000EE"/>
            <w:u w:val="single"/>
          </w:rPr>
          <w:t>[1]</w:t>
        </w:r>
      </w:hyperlink>
      <w:r/>
    </w:p>
    <w:p>
      <w:r/>
      <w:r>
        <w:t xml:space="preserve">In short, the agencies named in the updated ranking reflect a market wagering that visibility in 2026 will be earned by combining technical SEO, topical authority and content built as reliable training signals for language models , while still serving the human readers who click through for detail. </w:t>
      </w:r>
      <w:hyperlink r:id="rId9">
        <w:r>
          <w:rPr>
            <w:color w:val="0000EE"/>
            <w:u w:val="single"/>
          </w:rPr>
          <w:t>[1]</w:t>
        </w:r>
      </w:hyperlink>
      <w:hyperlink r:id="rId11">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(Valasys Media) - Paragraph 1, Paragraph 2, Paragraph 3, Paragraph 4, Paragraph 5, Paragraph 6, Paragraph 8, Paragraph 9 </w:t>
      </w:r>
      <w:r/>
    </w:p>
    <w:p>
      <w:pPr>
        <w:pStyle w:val="ListBullet"/>
        <w:spacing w:line="240" w:lineRule="auto"/>
        <w:ind w:left="720"/>
      </w:pPr>
      <w:r/>
      <w:hyperlink r:id="rId10">
        <w:r>
          <w:rPr>
            <w:color w:val="0000EE"/>
            <w:u w:val="single"/>
          </w:rPr>
          <w:t>[3]</w:t>
        </w:r>
      </w:hyperlink>
      <w:r>
        <w:t xml:space="preserve"> (NP Digital blog) - Paragraph 2 </w:t>
      </w:r>
      <w:r/>
    </w:p>
    <w:p>
      <w:pPr>
        <w:pStyle w:val="ListBullet"/>
        <w:spacing w:line="240" w:lineRule="auto"/>
        <w:ind w:left="720"/>
      </w:pPr>
      <w:r/>
      <w:hyperlink r:id="rId11">
        <w:r>
          <w:rPr>
            <w:color w:val="0000EE"/>
            <w:u w:val="single"/>
          </w:rPr>
          <w:t>[4]</w:t>
        </w:r>
      </w:hyperlink>
      <w:r>
        <w:t xml:space="preserve"> (GlobeNewswire) - Paragraph 2, Paragraph 9 </w:t>
      </w:r>
      <w:r/>
    </w:p>
    <w:p>
      <w:pPr>
        <w:pStyle w:val="ListBullet"/>
        <w:spacing w:line="240" w:lineRule="auto"/>
        <w:ind w:left="720"/>
      </w:pPr>
      <w:r/>
      <w:hyperlink r:id="rId12">
        <w:r>
          <w:rPr>
            <w:color w:val="0000EE"/>
            <w:u w:val="single"/>
          </w:rPr>
          <w:t>[5]</w:t>
        </w:r>
      </w:hyperlink>
      <w:r>
        <w:t xml:space="preserve"> (SmallBusinessCoach) - Paragraph 2 </w:t>
      </w:r>
      <w:r/>
    </w:p>
    <w:p>
      <w:pPr>
        <w:pStyle w:val="ListBullet"/>
        <w:spacing w:line="240" w:lineRule="auto"/>
        <w:ind w:left="720"/>
      </w:pPr>
      <w:r/>
      <w:hyperlink r:id="rId13">
        <w:r>
          <w:rPr>
            <w:color w:val="0000EE"/>
            <w:u w:val="single"/>
          </w:rPr>
          <w:t>[2]</w:t>
        </w:r>
      </w:hyperlink>
      <w:r>
        <w:t xml:space="preserve"> (iPullRank) - Paragraph 3 </w:t>
      </w:r>
      <w:r/>
    </w:p>
    <w:p>
      <w:pPr>
        <w:pStyle w:val="ListBullet"/>
        <w:spacing w:line="240" w:lineRule="auto"/>
        <w:ind w:left="720"/>
      </w:pPr>
      <w:r/>
      <w:hyperlink r:id="rId14">
        <w:r>
          <w:rPr>
            <w:color w:val="0000EE"/>
            <w:u w:val="single"/>
          </w:rPr>
          <w:t>[7]</w:t>
        </w:r>
      </w:hyperlink>
      <w:r>
        <w:t xml:space="preserve"> (iPullRank LinkedIn) - Paragraph 3 </w:t>
      </w:r>
      <w:r/>
    </w:p>
    <w:p>
      <w:pPr>
        <w:pStyle w:val="ListBullet"/>
        <w:spacing w:line="240" w:lineRule="auto"/>
        <w:ind w:left="720"/>
      </w:pPr>
      <w:r/>
      <w:hyperlink r:id="rId15">
        <w:r>
          <w:rPr>
            <w:color w:val="0000EE"/>
            <w:u w:val="single"/>
          </w:rPr>
          <w:t>[6]</w:t>
        </w:r>
      </w:hyperlink>
      <w:r>
        <w:t xml:space="preserve"> (National ACE)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https://valasys.com/the-agencies-leading-seo-and-llm-visibility-in-2026/</w:t>
        </w:r>
      </w:hyperlink>
      <w:r>
        <w:t xml:space="preserve"> - Please view link - unable to able to access data</w:t>
      </w:r>
      <w:r/>
    </w:p>
    <w:p>
      <w:pPr>
        <w:pStyle w:val="ListNumber"/>
        <w:spacing w:line="240" w:lineRule="auto"/>
        <w:ind w:left="720"/>
      </w:pPr>
      <w:r/>
      <w:hyperlink r:id="rId13">
        <w:r>
          <w:rPr>
            <w:color w:val="0000EE"/>
            <w:u w:val="single"/>
          </w:rPr>
          <w:t>https://ipullrank.com/ai-search-strategy-program</w:t>
        </w:r>
      </w:hyperlink>
      <w:r>
        <w:t xml:space="preserve"> - iPullRank offers an AI Search Strategy Program designed to enhance brand visibility across AI search platforms, including Google AI Overviews, ChatGPT, and Perplexity. The program provides a comprehensive approach, including keyword portfolio development, content audits, and AI search measurement plans. It is led by a dedicated team comprising a Relevance Engineer, Content Strategist, and Marketing Data Scientist, aiming to help enterprise brands adapt to the evolving AI-driven search landscape. The program is priced at $15,000 per month and is tailored to meet the specific needs of each client.</w:t>
      </w:r>
      <w:r/>
    </w:p>
    <w:p>
      <w:pPr>
        <w:pStyle w:val="ListNumber"/>
        <w:spacing w:line="240" w:lineRule="auto"/>
        <w:ind w:left="720"/>
      </w:pPr>
      <w:r/>
      <w:hyperlink r:id="rId10">
        <w:r>
          <w:rPr>
            <w:color w:val="0000EE"/>
            <w:u w:val="single"/>
          </w:rPr>
          <w:t>https://npdigital.com/blog/np-digital-wins-best-seo-campaign-and-best-sem-campaign-at-the-2025-omma-awards/</w:t>
        </w:r>
      </w:hyperlink>
      <w:r>
        <w:t xml:space="preserve"> - NP Digital has been honoured with two prestigious awards at the 2025 OMMA Awards: Best SEO Campaign and Best SEM Campaign. These accolades recognise the agency's innovative approach to AI-driven search and omnichannel growth strategies. The award-winning SEO campaign focused on driving organic growth for auto refinancing leader RefiJet, leveraging generative engine optimisation (GEO), first-party data, and citation building to enhance large language model (LLM) visibility. This resulted in a 2,012% increase in LLM traffic and a 522% growth in top-three rankings.</w:t>
      </w:r>
      <w:r/>
    </w:p>
    <w:p>
      <w:pPr>
        <w:pStyle w:val="ListNumber"/>
        <w:spacing w:line="240" w:lineRule="auto"/>
        <w:ind w:left="720"/>
      </w:pPr>
      <w:r/>
      <w:hyperlink r:id="rId11">
        <w:r>
          <w:rPr>
            <w:color w:val="0000EE"/>
            <w:u w:val="single"/>
          </w:rPr>
          <w:t>https://rss.globenewswire.com/news-release/2025/07/30/3124197/0/en/NP-Digital-s-2025-Organic-Search-Engine-Trends-Report-Uncovers-How-AI-Is-Driving-Marketers-to-Rethink-SEO-Strategies.html</w:t>
        </w:r>
      </w:hyperlink>
      <w:r>
        <w:t xml:space="preserve"> - NP Digital's 2025 Organic Search Engine Trends Report reveals that 56% of marketers have seen an increase in traffic since the launch of Google's AI Overviews. The report, based on surveys of 1,000 search users and 600 marketing professionals, explores how users and brands are adapting to AI-driven search. It highlights that only 15% of users have stopped clicking on links after seeing an AI Overview, suggesting that the majority still seek deeper information. The findings indicate that AI is reshaping search habits without eliminating the desire for in-depth content.</w:t>
      </w:r>
      <w:r/>
    </w:p>
    <w:p>
      <w:pPr>
        <w:pStyle w:val="ListNumber"/>
        <w:spacing w:line="240" w:lineRule="auto"/>
        <w:ind w:left="720"/>
      </w:pPr>
      <w:r/>
      <w:hyperlink r:id="rId12">
        <w:r>
          <w:rPr>
            <w:color w:val="0000EE"/>
            <w:u w:val="single"/>
          </w:rPr>
          <w:t>https://www.smallbusinesscoach.org/leading-agencies-for-ai-seo-and-llm-visibility-in-2025/</w:t>
        </w:r>
      </w:hyperlink>
      <w:r>
        <w:t xml:space="preserve"> - An article highlighting leading agencies in AI SEO and LLM visibility in 2025, with NP Digital at the forefront. The piece discusses how search behaviour is evolving as users shift towards AI-driven answers, and how brands need visibility within these generated responses. It mentions that NP Digital leads the industry by pairing technical excellence with deep research into how AI systems reference brands, specialising in generative engine optimisation (GEO), answer engine optimisation (AEO), structured content, and entity optimisation. The article also notes NP Digital's continuous LLM citation tracking.</w:t>
      </w:r>
      <w:r/>
    </w:p>
    <w:p>
      <w:pPr>
        <w:pStyle w:val="ListNumber"/>
        <w:spacing w:line="240" w:lineRule="auto"/>
        <w:ind w:left="720"/>
      </w:pPr>
      <w:r/>
      <w:hyperlink r:id="rId15">
        <w:r>
          <w:rPr>
            <w:color w:val="0000EE"/>
            <w:u w:val="single"/>
          </w:rPr>
          <w:t>https://www.nationalace.org/events/futureofseo</w:t>
        </w:r>
      </w:hyperlink>
      <w:r>
        <w:t xml:space="preserve"> - A webinar titled 'The Future of SEO in 2026: How Small Businesses Stay Discoverable in the AI Age' scheduled for December 12, 2025. The event aims to educate small businesses on how SEO is evolving to maintain visibility as customers increasingly rely on AI for purchasing decisions. The session is part of a 10-session live event series coordinated by Digital Ready partner National ACE, featuring subject matter experts from the AAPI community. The corresponding course is 'The Basics of Search Engine Optimization'.</w:t>
      </w:r>
      <w:r/>
    </w:p>
    <w:p>
      <w:pPr>
        <w:pStyle w:val="ListNumber"/>
        <w:spacing w:line="240" w:lineRule="auto"/>
        <w:ind w:left="720"/>
      </w:pPr>
      <w:r/>
      <w:hyperlink r:id="rId14">
        <w:r>
          <w:rPr>
            <w:color w:val="0000EE"/>
            <w:u w:val="single"/>
          </w:rPr>
          <w:t>https://www.linkedin.com/posts/ipullrank_moz-released-their-2026-seo-trends-top-predictions-activity-7396158923189227520-mNVV</w:t>
        </w:r>
      </w:hyperlink>
      <w:r>
        <w:t xml:space="preserve"> - A LinkedIn post by iPullRank discussing Moz's 2026 SEO Trends report, which predicts that AI Mode will dominate search by 2026. The post highlights the concept of 'Relevance Engineering' as a defining factor for AI search, emphasising the need for content systems rather than individual pages, optimising for visibility across all platforms, treating content as training data, and creating semantic consistency across every channel AI touches. The post underscores the shift from traditional SEO practices to strategies that align with AI-driven search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lasys.com/the-agencies-leading-seo-and-llm-visibility-in-2026/" TargetMode="External"/><Relationship Id="rId10" Type="http://schemas.openxmlformats.org/officeDocument/2006/relationships/hyperlink" Target="https://npdigital.com/blog/np-digital-wins-best-seo-campaign-and-best-sem-campaign-at-the-2025-omma-awards/" TargetMode="External"/><Relationship Id="rId11" Type="http://schemas.openxmlformats.org/officeDocument/2006/relationships/hyperlink" Target="https://rss.globenewswire.com/news-release/2025/07/30/3124197/0/en/NP-Digital-s-2025-Organic-Search-Engine-Trends-Report-Uncovers-How-AI-Is-Driving-Marketers-to-Rethink-SEO-Strategies.html" TargetMode="External"/><Relationship Id="rId12" Type="http://schemas.openxmlformats.org/officeDocument/2006/relationships/hyperlink" Target="https://www.smallbusinesscoach.org/leading-agencies-for-ai-seo-and-llm-visibility-in-2025/" TargetMode="External"/><Relationship Id="rId13" Type="http://schemas.openxmlformats.org/officeDocument/2006/relationships/hyperlink" Target="https://ipullrank.com/ai-search-strategy-program" TargetMode="External"/><Relationship Id="rId14" Type="http://schemas.openxmlformats.org/officeDocument/2006/relationships/hyperlink" Target="https://www.linkedin.com/posts/ipullrank_moz-released-their-2026-seo-trends-top-predictions-activity-7396158923189227520-mNVV" TargetMode="External"/><Relationship Id="rId15" Type="http://schemas.openxmlformats.org/officeDocument/2006/relationships/hyperlink" Target="https://www.nationalace.org/events/futureofse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