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agents poised to revolutionise healthcare with new diagnostic and surgical capabilities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AI agents, software systems that ingest clinical data, images and records and act with varying degrees of autonomy, are already reshaping care delivery and are poised to transform diagnostics, surgery, chronic‑disease management and administrative workflows across US health systems. According to the original report, these agents combine natural language processing, machine learning and computer vision to tackle both clinical tasks and repetitive administrative work, promising faster, more consistent decisions while reducing clinician administrative burden. </w:t>
      </w:r>
      <w:hyperlink r:id="rId9">
        <w:r>
          <w:rPr>
            <w:color w:val="0000EE"/>
            <w:u w:val="single"/>
          </w:rPr>
          <w:t>[1]</w:t>
        </w:r>
      </w:hyperlink>
      <w:hyperlink r:id="rId9">
        <w:r>
          <w:rPr>
            <w:color w:val="0000EE"/>
            <w:u w:val="single"/>
          </w:rPr>
          <w:t>[2]</w:t>
        </w:r>
      </w:hyperlink>
      <w:hyperlink r:id="rId10">
        <w:r>
          <w:rPr>
            <w:color w:val="0000EE"/>
            <w:u w:val="single"/>
          </w:rPr>
          <w:t>[3]</w:t>
        </w:r>
      </w:hyperlink>
      <w:r/>
    </w:p>
    <w:p>
      <w:r/>
      <w:r>
        <w:t xml:space="preserve">One of the clearest near‑term impacts is autonomous diagnostics. Industry case studies and vendor reports show AI tools can detect subtle imaging and pattern signals that humans may miss, accelerating diagnosis and, in some implementations, improving accuracy substantially. The lead article cites examples such as FDA‑cleared IDx‑DR for diabetic retinopathy and claims of cancer‑detection rates approaching very high sensitivity in research settings; a separate case study reports a 45% reduction in diagnostic errors and large reductions in time to diagnosis after deployment. According to the original report, those gains can shorten hospital stays and identify conditions earlier, while industry data show comparable benefits in specialist areas such as oncology. </w:t>
      </w:r>
      <w:hyperlink r:id="rId9">
        <w:r>
          <w:rPr>
            <w:color w:val="0000EE"/>
            <w:u w:val="single"/>
          </w:rPr>
          <w:t>[1]</w:t>
        </w:r>
      </w:hyperlink>
      <w:hyperlink r:id="rId11">
        <w:r>
          <w:rPr>
            <w:color w:val="0000EE"/>
            <w:u w:val="single"/>
          </w:rPr>
          <w:t>[5]</w:t>
        </w:r>
      </w:hyperlink>
      <w:hyperlink r:id="rId10">
        <w:r>
          <w:rPr>
            <w:color w:val="0000EE"/>
            <w:u w:val="single"/>
          </w:rPr>
          <w:t>[3]</w:t>
        </w:r>
      </w:hyperlink>
      <w:r/>
    </w:p>
    <w:p>
      <w:r/>
      <w:r>
        <w:t xml:space="preserve">Surgery is another area where agents, when coupled with robotics and augmented reality, are extending human capability. The report notes that AI‑augmented systems provide 3D models and intra‑operative guidance that can improve precision and reduce operative time; leading centres such as Mayo Clinic are cited as using AI to enhance intra‑operative imaging and decision‑making. Market analyses referenced in the lead article also point to adjacent growth in 3D bioprinting and simulation tools that enable pre‑operative planning and rehearsal. The company claims and institutional reports together suggest improved surgical accuracy and efficiency, although clinical outcomes will depend on integration, training and oversight. </w:t>
      </w:r>
      <w:hyperlink r:id="rId9">
        <w:r>
          <w:rPr>
            <w:color w:val="0000EE"/>
            <w:u w:val="single"/>
          </w:rPr>
          <w:t>[1]</w:t>
        </w:r>
      </w:hyperlink>
      <w:hyperlink r:id="rId9">
        <w:r>
          <w:rPr>
            <w:color w:val="0000EE"/>
            <w:u w:val="single"/>
          </w:rPr>
          <w:t>[2]</w:t>
        </w:r>
      </w:hyperlink>
      <w:r/>
    </w:p>
    <w:p>
      <w:r/>
      <w:r>
        <w:t xml:space="preserve">A second transformational trend is the emergence of virtual patient twins, dynamic digital replicas constructed from electronic health records, genomics, wearable data and lifestyle inputs. The lead report projects sizeable market growth for digital twins and argues these models allow clinicians to simulate drug responses and personalise regimens without invasive testing. Industry commentators and clinical implementers caution, however, that predictive fidelity relies on data completeness and representativeness; when paired with AI agents, twins can flag high‑risk trajectories and enable earlier interventions but must be validated continuously. </w:t>
      </w:r>
      <w:hyperlink r:id="rId9">
        <w:r>
          <w:rPr>
            <w:color w:val="0000EE"/>
            <w:u w:val="single"/>
          </w:rPr>
          <w:t>[1]</w:t>
        </w:r>
      </w:hyperlink>
      <w:hyperlink r:id="rId9">
        <w:r>
          <w:rPr>
            <w:color w:val="0000EE"/>
            <w:u w:val="single"/>
          </w:rPr>
          <w:t>[2]</w:t>
        </w:r>
      </w:hyperlink>
      <w:hyperlink r:id="rId10">
        <w:r>
          <w:rPr>
            <w:color w:val="0000EE"/>
            <w:u w:val="single"/>
          </w:rPr>
          <w:t>[3]</w:t>
        </w:r>
      </w:hyperlink>
      <w:r/>
    </w:p>
    <w:p>
      <w:r/>
      <w:r>
        <w:t xml:space="preserve">Beyond high‑acuity care, AI agents are already reducing administrative friction. The original report highlights tools that automate appointment scheduling, triage, prior authorisation, billing and real‑time clinical documentation, with cited reductions in time spent on electronic health records and after‑hours paperwork. Vendor and platform analyses indicate that automation of payer interactions and prior‑authorisation workflows also delivers measurable efficiency gains for clinics and revenue cycle teams. The report’s examples, such as lower clinician documentation time and fewer missed appointments via virtual assistants, are echoed in industry write‑ups showing improved throughput and staff satisfaction where deployments are well governed. </w:t>
      </w:r>
      <w:hyperlink r:id="rId9">
        <w:r>
          <w:rPr>
            <w:color w:val="0000EE"/>
            <w:u w:val="single"/>
          </w:rPr>
          <w:t>[1]</w:t>
        </w:r>
      </w:hyperlink>
      <w:hyperlink r:id="rId12">
        <w:r>
          <w:rPr>
            <w:color w:val="0000EE"/>
            <w:u w:val="single"/>
          </w:rPr>
          <w:t>[4]</w:t>
        </w:r>
      </w:hyperlink>
      <w:hyperlink r:id="rId10">
        <w:r>
          <w:rPr>
            <w:color w:val="0000EE"/>
            <w:u w:val="single"/>
          </w:rPr>
          <w:t>[6]</w:t>
        </w:r>
      </w:hyperlink>
      <w:hyperlink r:id="rId12">
        <w:r>
          <w:rPr>
            <w:color w:val="0000EE"/>
            <w:u w:val="single"/>
          </w:rPr>
          <w:t>[7]</w:t>
        </w:r>
      </w:hyperlink>
      <w:r/>
    </w:p>
    <w:p>
      <w:r/>
      <w:r>
        <w:t xml:space="preserve">Implementation, integration and regulation remain critical constraints. The lead article stresses the technical requirement to adhere to interoperability standards such as HL7 and FHIR and the legal necessity of HIPAA and comparable privacy regimes. Government figures and breach reports cited in the report underline the stakes: health data breaches have affected tens of millions of US patients in recent years, reinforcing calls for robust security, continuous monitoring and strict access controls when deploying AI agents. </w:t>
      </w:r>
      <w:hyperlink r:id="rId9">
        <w:r>
          <w:rPr>
            <w:color w:val="0000EE"/>
            <w:u w:val="single"/>
          </w:rPr>
          <w:t>[1]</w:t>
        </w:r>
      </w:hyperlink>
      <w:r/>
    </w:p>
    <w:p>
      <w:r/>
      <w:r>
        <w:t xml:space="preserve">Ethical and performance‑assurance questions persist. The lead article warns of algorithmic bias where training data are unrepresentative and advocates ongoing evaluation and retraining; it also argues for explainable AI so clinicians and patients can understand agent recommendations. Academic and industry observers concur that transparency, audit trails and human‑in‑the‑loop governance are essential to maintain trust and to limit harm from erroneous or biased outputs. </w:t>
      </w:r>
      <w:hyperlink r:id="rId9">
        <w:r>
          <w:rPr>
            <w:color w:val="0000EE"/>
            <w:u w:val="single"/>
          </w:rPr>
          <w:t>[1]</w:t>
        </w:r>
      </w:hyperlink>
      <w:hyperlink r:id="rId10">
        <w:r>
          <w:rPr>
            <w:color w:val="0000EE"/>
            <w:u w:val="single"/>
          </w:rPr>
          <w:t>[3]</w:t>
        </w:r>
      </w:hyperlink>
      <w:r/>
    </w:p>
    <w:p>
      <w:r/>
      <w:r>
        <w:t xml:space="preserve">On economics, the lead report cites macro estimates of substantial cost savings from broader AI adoption and provides rough development and maintenance cost brackets for different agent classes. Independent analyses referenced in the supplementary material corroborate that savings derive from reduced diagnostic error, workflow automation and fraud detection, but they also emphasise upfront investment, integration costs and the need for recurrent compliance expenditure. Health leaders are therefore advised to prioritise scalable, standards‑compliant solutions and to evaluate total cost of ownership alongside clinical benefit. </w:t>
      </w:r>
      <w:hyperlink r:id="rId9">
        <w:r>
          <w:rPr>
            <w:color w:val="0000EE"/>
            <w:u w:val="single"/>
          </w:rPr>
          <w:t>[1]</w:t>
        </w:r>
      </w:hyperlink>
      <w:hyperlink r:id="rId10">
        <w:r>
          <w:rPr>
            <w:color w:val="0000EE"/>
            <w:u w:val="single"/>
          </w:rPr>
          <w:t>[3]</w:t>
        </w:r>
      </w:hyperlink>
      <w:r/>
    </w:p>
    <w:p>
      <w:r/>
      <w:r>
        <w:t xml:space="preserve">Looking ahead, the sector is likely to see growth in voice‑enabled assistants, real‑time disease surveillance and decentralised telemedicine supported by Internet of Medical Things devices, trends the lead article highlights as extensions of existing capabilities. According to the original report, these developments could expand monitoring outside hospitals and enable virtual wards, but their success will hinge on validated clinical performance, equitable access and rigorous data governance. </w:t>
      </w:r>
      <w:hyperlink r:id="rId9">
        <w:r>
          <w:rPr>
            <w:color w:val="0000EE"/>
            <w:u w:val="single"/>
          </w:rPr>
          <w:t>[1]</w:t>
        </w:r>
      </w:hyperlink>
      <w:hyperlink r:id="rId9">
        <w:r>
          <w:rPr>
            <w:color w:val="0000EE"/>
            <w:u w:val="single"/>
          </w:rPr>
          <w:t>[2]</w:t>
        </w:r>
      </w:hyperlink>
      <w:r/>
    </w:p>
    <w:p>
      <w:r/>
      <w:r>
        <w:t xml:space="preserve">Adopters should focus on well‑defined, high‑volume pain points for pilot projects, procure from vendors that demonstrate healthcare experience and compliance, and train clinicians to interpret and oversee agent outputs. The company claims in the lead article and corroborating industry pieces together suggest that, when responsibly implemented, AI agents can bolster diagnostic accuracy, streamline operations and personalise care while preserving clinician oversight; the balance between innovation and safeguards will determine whether those promises materialise at scale. </w:t>
      </w:r>
      <w:hyperlink r:id="rId9">
        <w:r>
          <w:rPr>
            <w:color w:val="0000EE"/>
            <w:u w:val="single"/>
          </w:rPr>
          <w:t>[1]</w:t>
        </w:r>
      </w:hyperlink>
      <w:hyperlink r:id="rId9">
        <w:r>
          <w:rPr>
            <w:color w:val="0000EE"/>
            <w:u w:val="single"/>
          </w:rPr>
          <w:t>[2]</w:t>
        </w:r>
      </w:hyperlink>
      <w:hyperlink r:id="rId10">
        <w:r>
          <w:rPr>
            <w:color w:val="0000EE"/>
            <w:u w:val="single"/>
          </w:rPr>
          <w:t>[3]</w:t>
        </w:r>
      </w:hyperlink>
      <w:hyperlink r:id="rId12">
        <w:r>
          <w:rPr>
            <w:color w:val="0000EE"/>
            <w:u w:val="single"/>
          </w:rPr>
          <w:t>[4]</w:t>
        </w:r>
      </w:hyperlink>
      <w:hyperlink r:id="rId10">
        <w:r>
          <w:rPr>
            <w:color w:val="0000EE"/>
            <w:u w:val="single"/>
          </w:rPr>
          <w:t>[6]</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(Simbo.ai blog) - Paragraph 1, Paragraph 2, Paragraph 3, Paragraph 4, Paragraph 5, Paragraph 6, Paragraph 7, Paragraph 8, Paragraph 9, Paragraph 10 </w:t>
      </w:r>
      <w:r/>
    </w:p>
    <w:p>
      <w:pPr>
        <w:pStyle w:val="ListBullet"/>
        <w:spacing w:line="240" w:lineRule="auto"/>
        <w:ind w:left="720"/>
      </w:pPr>
      <w:r/>
      <w:hyperlink r:id="rId9">
        <w:r>
          <w:rPr>
            <w:color w:val="0000EE"/>
            <w:u w:val="single"/>
          </w:rPr>
          <w:t>[2]</w:t>
        </w:r>
      </w:hyperlink>
      <w:r>
        <w:t xml:space="preserve"> (Simbo.ai blog summary) - Paragraph 1, Paragraph 3, Paragraph 4, Paragraph 9, Paragraph 10 </w:t>
      </w:r>
      <w:r/>
    </w:p>
    <w:p>
      <w:pPr>
        <w:pStyle w:val="ListBullet"/>
        <w:spacing w:line="240" w:lineRule="auto"/>
        <w:ind w:left="720"/>
      </w:pPr>
      <w:r/>
      <w:hyperlink r:id="rId10">
        <w:r>
          <w:rPr>
            <w:color w:val="0000EE"/>
            <w:u w:val="single"/>
          </w:rPr>
          <w:t>[3]</w:t>
        </w:r>
      </w:hyperlink>
      <w:r>
        <w:t xml:space="preserve"> (Xcube Labs) - Paragraph 2, Paragraph 4, Paragraph 7, Paragraph 8, Paragraph 10 </w:t>
      </w:r>
      <w:r/>
    </w:p>
    <w:p>
      <w:pPr>
        <w:pStyle w:val="ListBullet"/>
        <w:spacing w:line="240" w:lineRule="auto"/>
        <w:ind w:left="720"/>
      </w:pPr>
      <w:r/>
      <w:hyperlink r:id="rId12">
        <w:r>
          <w:rPr>
            <w:color w:val="0000EE"/>
            <w:u w:val="single"/>
          </w:rPr>
          <w:t>[4]</w:t>
        </w:r>
      </w:hyperlink>
      <w:r>
        <w:t xml:space="preserve"> (AGs Health) - Paragraph 6, Paragraph 10 </w:t>
      </w:r>
      <w:r/>
    </w:p>
    <w:p>
      <w:pPr>
        <w:pStyle w:val="ListBullet"/>
        <w:spacing w:line="240" w:lineRule="auto"/>
        <w:ind w:left="720"/>
      </w:pPr>
      <w:r/>
      <w:hyperlink r:id="rId11">
        <w:r>
          <w:rPr>
            <w:color w:val="0000EE"/>
            <w:u w:val="single"/>
          </w:rPr>
          <w:t>[5]</w:t>
        </w:r>
      </w:hyperlink>
      <w:r>
        <w:t xml:space="preserve"> (Agentic Dream case study) - Paragraph 2 </w:t>
      </w:r>
      <w:r/>
    </w:p>
    <w:p>
      <w:pPr>
        <w:pStyle w:val="ListBullet"/>
        <w:spacing w:line="240" w:lineRule="auto"/>
        <w:ind w:left="720"/>
      </w:pPr>
      <w:r/>
      <w:hyperlink r:id="rId10">
        <w:r>
          <w:rPr>
            <w:color w:val="0000EE"/>
            <w:u w:val="single"/>
          </w:rPr>
          <w:t>[6]</w:t>
        </w:r>
      </w:hyperlink>
      <w:r>
        <w:t xml:space="preserve"> (Xcube Labs duplicate) - Paragraph 6, Paragraph 10 </w:t>
      </w:r>
      <w:r/>
    </w:p>
    <w:p>
      <w:pPr>
        <w:pStyle w:val="ListBullet"/>
        <w:spacing w:line="240" w:lineRule="auto"/>
        <w:ind w:left="720"/>
      </w:pPr>
      <w:r/>
      <w:hyperlink r:id="rId12">
        <w:r>
          <w:rPr>
            <w:color w:val="0000EE"/>
            <w:u w:val="single"/>
          </w:rPr>
          <w:t>[7]</w:t>
        </w:r>
      </w:hyperlink>
      <w:r>
        <w:t xml:space="preserve"> (AGs Health duplicate) - Paragraph 6</w:t>
      </w:r>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https://www.simbo.ai/blog/future-trends-of-ai-agents-in-healthcare-from-autonomous-diagnostics-to-ai-augmented-surgery-and-virtual-patient-twins-for-personalized-medicine-942058/</w:t>
        </w:r>
      </w:hyperlink>
      <w:r>
        <w:t xml:space="preserve"> - Please view link - unable to able to access data</w:t>
      </w:r>
      <w:r/>
    </w:p>
    <w:p>
      <w:pPr>
        <w:pStyle w:val="ListNumber"/>
        <w:spacing w:line="240" w:lineRule="auto"/>
        <w:ind w:left="720"/>
      </w:pPr>
      <w:r/>
      <w:hyperlink r:id="rId9">
        <w:r>
          <w:rPr>
            <w:color w:val="0000EE"/>
            <w:u w:val="single"/>
          </w:rPr>
          <w:t>https://www.simbo.ai/blog/future-trends-of-ai-agents-in-healthcare-from-autonomous-diagnostics-to-ai-augmented-surgery-and-virtual-patient-twins-for-personalized-medicine-942058/</w:t>
        </w:r>
      </w:hyperlink>
      <w:r>
        <w:t xml:space="preserve"> - This article discusses the evolving role of AI agents in healthcare, highlighting their applications in autonomous diagnostics, AI-augmented surgery, and virtual patient twins for personalized medicine. It emphasizes how AI agents enhance diagnostic accuracy, streamline surgical procedures, and facilitate personalized treatment plans, thereby improving patient outcomes and operational efficiency in healthcare settings.</w:t>
      </w:r>
      <w:r/>
    </w:p>
    <w:p>
      <w:pPr>
        <w:pStyle w:val="ListNumber"/>
        <w:spacing w:line="240" w:lineRule="auto"/>
        <w:ind w:left="720"/>
      </w:pPr>
      <w:r/>
      <w:hyperlink r:id="rId10">
        <w:r>
          <w:rPr>
            <w:color w:val="0000EE"/>
            <w:u w:val="single"/>
          </w:rPr>
          <w:t>https://www.xcubelabs.com/blog/ai-agents-in-healthcare-how-they-are-improving-efficiency/</w:t>
        </w:r>
      </w:hyperlink>
      <w:r>
        <w:t xml:space="preserve"> - This article explores the impact of AI agents on healthcare efficiency, detailing their roles in diagnostics, clinical decision support systems, and personalized treatment plans. It highlights how AI agents assist physicians by providing real-time, evidence-based recommendations, thereby reducing diagnostic errors and supporting complex treatment planning, particularly in oncology.</w:t>
      </w:r>
      <w:r/>
    </w:p>
    <w:p>
      <w:pPr>
        <w:pStyle w:val="ListNumber"/>
        <w:spacing w:line="240" w:lineRule="auto"/>
        <w:ind w:left="720"/>
      </w:pPr>
      <w:r/>
      <w:hyperlink r:id="rId12">
        <w:r>
          <w:rPr>
            <w:color w:val="0000EE"/>
            <w:u w:val="single"/>
          </w:rPr>
          <w:t>https://www.agshealth.com/ai-platform/ai-agents-and-intelligent-automation/</w:t>
        </w:r>
      </w:hyperlink>
      <w:r>
        <w:t xml:space="preserve"> - This article discusses the implementation of AI agents and intelligent automation in healthcare, focusing on their applications in prior authorization and eligibility verification. It outlines how these digital agents automate tasks such as identifying payer-specific requirements, gathering supporting documentation, and verifying insurance coverage, leading to improved workflow efficiency and reduced administrative burdens.</w:t>
      </w:r>
      <w:r/>
    </w:p>
    <w:p>
      <w:pPr>
        <w:pStyle w:val="ListNumber"/>
        <w:spacing w:line="240" w:lineRule="auto"/>
        <w:ind w:left="720"/>
      </w:pPr>
      <w:r/>
      <w:hyperlink r:id="rId11">
        <w:r>
          <w:rPr>
            <w:color w:val="0000EE"/>
            <w:u w:val="single"/>
          </w:rPr>
          <w:t>https://www.agenticdream.com/case-studies/healthcare-ai-diagnostics</w:t>
        </w:r>
      </w:hyperlink>
      <w:r>
        <w:t xml:space="preserve"> - This case study presents the implementation of AI-powered diagnostic tools in a leading healthcare provider, resulting in a 45% reduction in diagnostic errors and a 60% decrease in diagnosis time. It demonstrates how AI diagnostics can enhance accuracy and efficiency in medical imaging and patient data analysis, leading to improved patient satisfaction and operational performance.</w:t>
      </w:r>
      <w:r/>
    </w:p>
    <w:p>
      <w:pPr>
        <w:pStyle w:val="ListNumber"/>
        <w:spacing w:line="240" w:lineRule="auto"/>
        <w:ind w:left="720"/>
      </w:pPr>
      <w:r/>
      <w:hyperlink r:id="rId10">
        <w:r>
          <w:rPr>
            <w:color w:val="0000EE"/>
            <w:u w:val="single"/>
          </w:rPr>
          <w:t>https://www.xcubelabs.com/blog/ai-agents-in-healthcare-how-they-are-improving-efficiency/</w:t>
        </w:r>
      </w:hyperlink>
      <w:r>
        <w:t xml:space="preserve"> - This article examines the role of AI agents in healthcare, focusing on their contributions to diagnostics, clinical decision support systems, and personalized treatment plans. It highlights how AI agents analyze complex patient data to provide evidence-based recommendations, thereby reducing diagnostic errors and supporting timely interventions, particularly in oncology.</w:t>
      </w:r>
      <w:r/>
    </w:p>
    <w:p>
      <w:pPr>
        <w:pStyle w:val="ListNumber"/>
        <w:spacing w:line="240" w:lineRule="auto"/>
        <w:ind w:left="720"/>
      </w:pPr>
      <w:r/>
      <w:hyperlink r:id="rId12">
        <w:r>
          <w:rPr>
            <w:color w:val="0000EE"/>
            <w:u w:val="single"/>
          </w:rPr>
          <w:t>https://www.agshealth.com/ai-platform/ai-agents-and-intelligent-automation/</w:t>
        </w:r>
      </w:hyperlink>
      <w:r>
        <w:t xml:space="preserve"> - This article discusses the implementation of AI agents and intelligent automation in healthcare, focusing on their applications in prior authorization and eligibility verification. It outlines how these digital agents automate tasks such as identifying payer-specific requirements, gathering supporting documentation, and verifying insurance coverage, leading to improved workflow efficiency and reduced administrative burdens.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imbo.ai/blog/future-trends-of-ai-agents-in-healthcare-from-autonomous-diagnostics-to-ai-augmented-surgery-and-virtual-patient-twins-for-personalized-medicine-942058/" TargetMode="External"/><Relationship Id="rId10" Type="http://schemas.openxmlformats.org/officeDocument/2006/relationships/hyperlink" Target="https://www.xcubelabs.com/blog/ai-agents-in-healthcare-how-they-are-improving-efficiency/" TargetMode="External"/><Relationship Id="rId11" Type="http://schemas.openxmlformats.org/officeDocument/2006/relationships/hyperlink" Target="https://www.agenticdream.com/case-studies/healthcare-ai-diagnostics" TargetMode="External"/><Relationship Id="rId12" Type="http://schemas.openxmlformats.org/officeDocument/2006/relationships/hyperlink" Target="https://www.agshealth.com/ai-platform/ai-agents-and-intelligent-automation/" TargetMode="External"/><Relationship Id="rId13"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